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174C" w14:textId="0E82D685" w:rsidR="00337202" w:rsidRDefault="007457D2" w:rsidP="000D1181">
      <w:pPr>
        <w:spacing w:after="0" w:line="240" w:lineRule="auto"/>
        <w:jc w:val="right"/>
        <w:rPr>
          <w:rFonts w:eastAsia="Times New Roman" w:cs="Calibri"/>
          <w:i/>
          <w:szCs w:val="20"/>
        </w:rPr>
      </w:pPr>
      <w:bookmarkStart w:id="0" w:name="_Toc343527888"/>
      <w:r w:rsidRPr="007457D2">
        <w:rPr>
          <w:rFonts w:eastAsia="Times New Roman" w:cs="Calibri"/>
          <w:i/>
          <w:szCs w:val="20"/>
        </w:rPr>
        <w:t xml:space="preserve">Příloha č. </w:t>
      </w:r>
      <w:r>
        <w:rPr>
          <w:rFonts w:eastAsia="Times New Roman" w:cs="Calibri"/>
          <w:i/>
          <w:szCs w:val="20"/>
        </w:rPr>
        <w:t>4</w:t>
      </w:r>
      <w:r w:rsidRPr="007457D2">
        <w:rPr>
          <w:rFonts w:eastAsia="Times New Roman" w:cs="Calibri"/>
          <w:i/>
          <w:szCs w:val="20"/>
        </w:rPr>
        <w:t xml:space="preserve"> </w:t>
      </w:r>
      <w:r w:rsidR="00C52156">
        <w:rPr>
          <w:rFonts w:eastAsia="Times New Roman" w:cs="Calibri"/>
          <w:i/>
          <w:szCs w:val="20"/>
        </w:rPr>
        <w:t xml:space="preserve">ZD </w:t>
      </w:r>
      <w:r w:rsidR="00C52156" w:rsidRPr="004E236C">
        <w:rPr>
          <w:rFonts w:eastAsia="Times New Roman" w:cs="Calibri"/>
          <w:i/>
          <w:szCs w:val="20"/>
        </w:rPr>
        <w:t xml:space="preserve">VZ </w:t>
      </w:r>
      <w:r w:rsidR="004E236C" w:rsidRPr="004E236C">
        <w:rPr>
          <w:rFonts w:eastAsia="Times New Roman" w:cs="Calibri"/>
          <w:i/>
          <w:szCs w:val="20"/>
        </w:rPr>
        <w:t>03</w:t>
      </w:r>
      <w:r w:rsidR="00C52156" w:rsidRPr="004E236C">
        <w:rPr>
          <w:rFonts w:eastAsia="Times New Roman" w:cs="Calibri"/>
          <w:i/>
          <w:szCs w:val="20"/>
        </w:rPr>
        <w:t>/202</w:t>
      </w:r>
      <w:r w:rsidR="000D1181" w:rsidRPr="004E236C">
        <w:rPr>
          <w:rFonts w:eastAsia="Times New Roman" w:cs="Calibri"/>
          <w:i/>
          <w:szCs w:val="20"/>
        </w:rPr>
        <w:t>5</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876"/>
        <w:gridCol w:w="5304"/>
      </w:tblGrid>
      <w:tr w:rsidR="00337202" w14:paraId="759FDFB8" w14:textId="77777777" w:rsidTr="00DB7B85">
        <w:trPr>
          <w:trHeight w:val="1046"/>
        </w:trPr>
        <w:tc>
          <w:tcPr>
            <w:tcW w:w="9180" w:type="dxa"/>
            <w:gridSpan w:val="2"/>
          </w:tcPr>
          <w:p w14:paraId="3FA14480" w14:textId="77777777" w:rsidR="00337202" w:rsidRPr="00337202" w:rsidRDefault="00337202" w:rsidP="00DB7B85">
            <w:pPr>
              <w:pStyle w:val="Default"/>
              <w:jc w:val="center"/>
              <w:rPr>
                <w:rFonts w:ascii="Calibri" w:hAnsi="Calibri" w:cs="Calibri"/>
                <w:sz w:val="23"/>
                <w:szCs w:val="23"/>
              </w:rPr>
            </w:pPr>
            <w:r w:rsidRPr="00337202">
              <w:rPr>
                <w:rFonts w:ascii="Calibri" w:hAnsi="Calibri" w:cs="Calibri"/>
                <w:b/>
                <w:bCs/>
                <w:sz w:val="23"/>
                <w:szCs w:val="23"/>
              </w:rPr>
              <w:t>Název zakázky:</w:t>
            </w:r>
          </w:p>
          <w:p w14:paraId="28CDAE2E" w14:textId="552497F5" w:rsidR="00337202" w:rsidRPr="00337202" w:rsidRDefault="00337202" w:rsidP="00DB7B85">
            <w:pPr>
              <w:pStyle w:val="Default"/>
              <w:jc w:val="center"/>
              <w:rPr>
                <w:rFonts w:ascii="Calibri" w:hAnsi="Calibri" w:cs="Calibri"/>
                <w:sz w:val="44"/>
                <w:szCs w:val="44"/>
              </w:rPr>
            </w:pPr>
            <w:r w:rsidRPr="00337202">
              <w:rPr>
                <w:rFonts w:ascii="Calibri" w:hAnsi="Calibri" w:cs="Calibri"/>
                <w:b/>
                <w:bCs/>
                <w:sz w:val="44"/>
                <w:szCs w:val="44"/>
              </w:rPr>
              <w:t>„Výběr pojistitele pro pojištění majetku a odpovědnosti poskytovatele zdravotních služeb Nemocnice Nymburk s.r.o. “</w:t>
            </w:r>
          </w:p>
        </w:tc>
      </w:tr>
      <w:tr w:rsidR="00337202" w14:paraId="30B311FC" w14:textId="77777777" w:rsidTr="00DB7B85">
        <w:trPr>
          <w:trHeight w:val="120"/>
        </w:trPr>
        <w:tc>
          <w:tcPr>
            <w:tcW w:w="3876" w:type="dxa"/>
          </w:tcPr>
          <w:p w14:paraId="11567ADA" w14:textId="0F2D8C8F" w:rsidR="00337202" w:rsidRPr="00337202" w:rsidRDefault="00337202" w:rsidP="00DB7B85">
            <w:pPr>
              <w:pStyle w:val="Default"/>
              <w:rPr>
                <w:rFonts w:ascii="Calibri" w:hAnsi="Calibri" w:cs="Calibri"/>
                <w:sz w:val="23"/>
                <w:szCs w:val="23"/>
              </w:rPr>
            </w:pPr>
            <w:r w:rsidRPr="00337202">
              <w:rPr>
                <w:rFonts w:ascii="Calibri" w:hAnsi="Calibri" w:cs="Calibri"/>
                <w:sz w:val="23"/>
                <w:szCs w:val="23"/>
              </w:rPr>
              <w:t>Ev. číslo zadavatele</w:t>
            </w:r>
            <w:r w:rsidRPr="000D2FB0">
              <w:rPr>
                <w:rFonts w:ascii="Calibri" w:hAnsi="Calibri" w:cs="Calibri"/>
                <w:sz w:val="23"/>
                <w:szCs w:val="23"/>
              </w:rPr>
              <w:t xml:space="preserve">: </w:t>
            </w:r>
            <w:r w:rsidR="000D2FB0" w:rsidRPr="000D2FB0">
              <w:rPr>
                <w:rFonts w:ascii="Calibri" w:hAnsi="Calibri" w:cs="Calibri"/>
                <w:sz w:val="23"/>
                <w:szCs w:val="23"/>
              </w:rPr>
              <w:t>03</w:t>
            </w:r>
            <w:r w:rsidR="00D86104" w:rsidRPr="000D2FB0">
              <w:rPr>
                <w:rFonts w:ascii="Calibri" w:hAnsi="Calibri" w:cs="Calibri"/>
                <w:sz w:val="23"/>
                <w:szCs w:val="23"/>
              </w:rPr>
              <w:t>/202</w:t>
            </w:r>
            <w:r w:rsidR="00FE2903" w:rsidRPr="000D2FB0">
              <w:rPr>
                <w:rFonts w:ascii="Calibri" w:hAnsi="Calibri" w:cs="Calibri"/>
                <w:sz w:val="23"/>
                <w:szCs w:val="23"/>
              </w:rPr>
              <w:t>5</w:t>
            </w:r>
          </w:p>
        </w:tc>
        <w:tc>
          <w:tcPr>
            <w:tcW w:w="5304" w:type="dxa"/>
          </w:tcPr>
          <w:p w14:paraId="3DB3AAFA" w14:textId="33460561" w:rsidR="00337202" w:rsidRPr="00337202" w:rsidRDefault="00337202" w:rsidP="00DB7B85">
            <w:pPr>
              <w:pStyle w:val="Default"/>
              <w:jc w:val="center"/>
              <w:rPr>
                <w:rFonts w:ascii="Calibri" w:hAnsi="Calibri" w:cs="Calibri"/>
                <w:sz w:val="23"/>
                <w:szCs w:val="23"/>
              </w:rPr>
            </w:pPr>
          </w:p>
        </w:tc>
      </w:tr>
      <w:tr w:rsidR="00337202" w14:paraId="5FDCCF13" w14:textId="77777777" w:rsidTr="00DB7B85">
        <w:trPr>
          <w:trHeight w:val="266"/>
        </w:trPr>
        <w:tc>
          <w:tcPr>
            <w:tcW w:w="9180" w:type="dxa"/>
            <w:gridSpan w:val="2"/>
          </w:tcPr>
          <w:p w14:paraId="60C5D03B" w14:textId="77777777" w:rsidR="00337202" w:rsidRPr="00337202" w:rsidRDefault="00337202" w:rsidP="00DB7B85">
            <w:pPr>
              <w:pStyle w:val="Default"/>
              <w:jc w:val="center"/>
              <w:rPr>
                <w:rFonts w:ascii="Calibri" w:hAnsi="Calibri" w:cs="Calibri"/>
                <w:sz w:val="23"/>
                <w:szCs w:val="23"/>
              </w:rPr>
            </w:pPr>
            <w:r w:rsidRPr="00337202">
              <w:rPr>
                <w:rFonts w:ascii="Calibri" w:hAnsi="Calibri" w:cs="Calibri"/>
                <w:b/>
                <w:bCs/>
                <w:sz w:val="23"/>
                <w:szCs w:val="23"/>
              </w:rPr>
              <w:t>PRO ZPRACOVÁNÍ NABÍDKY K NADLIMITNÍ VEŘEJNÉ ZAKÁZCE NA SLUŽBY</w:t>
            </w:r>
          </w:p>
          <w:p w14:paraId="1FD23F8D" w14:textId="77777777" w:rsidR="00337202" w:rsidRPr="00337202" w:rsidRDefault="00337202" w:rsidP="00DB7B85">
            <w:pPr>
              <w:pStyle w:val="Default"/>
              <w:jc w:val="center"/>
              <w:rPr>
                <w:rFonts w:ascii="Calibri" w:hAnsi="Calibri" w:cs="Calibri"/>
                <w:sz w:val="23"/>
                <w:szCs w:val="23"/>
              </w:rPr>
            </w:pPr>
            <w:r w:rsidRPr="00337202">
              <w:rPr>
                <w:rFonts w:ascii="Calibri" w:hAnsi="Calibri" w:cs="Calibri"/>
                <w:b/>
                <w:bCs/>
                <w:sz w:val="23"/>
                <w:szCs w:val="23"/>
              </w:rPr>
              <w:t>ZADÁVANÉ V OTEVŘENÉM ŘÍZENÍ</w:t>
            </w:r>
          </w:p>
        </w:tc>
      </w:tr>
    </w:tbl>
    <w:p w14:paraId="135CFDCC" w14:textId="77777777" w:rsidR="007457D2" w:rsidRDefault="007457D2" w:rsidP="007457D2">
      <w:pPr>
        <w:spacing w:after="0" w:line="240" w:lineRule="auto"/>
        <w:jc w:val="right"/>
        <w:rPr>
          <w:rFonts w:ascii="Arial" w:eastAsia="Times New Roman" w:hAnsi="Arial" w:cs="Arial"/>
          <w:szCs w:val="20"/>
        </w:rPr>
      </w:pPr>
    </w:p>
    <w:p w14:paraId="75A050DF" w14:textId="77777777" w:rsidR="00583CDD" w:rsidRPr="007457D2" w:rsidRDefault="00583CDD" w:rsidP="007457D2">
      <w:pPr>
        <w:spacing w:after="0" w:line="240" w:lineRule="auto"/>
        <w:jc w:val="right"/>
        <w:rPr>
          <w:rFonts w:ascii="Arial" w:eastAsia="Times New Roman" w:hAnsi="Arial" w:cs="Arial"/>
          <w:szCs w:val="20"/>
        </w:rPr>
      </w:pPr>
    </w:p>
    <w:p w14:paraId="71813F11" w14:textId="5DA0AC31" w:rsidR="007457D2" w:rsidRPr="007457D2" w:rsidRDefault="007457D2" w:rsidP="007457D2">
      <w:pPr>
        <w:spacing w:after="0" w:line="240" w:lineRule="auto"/>
        <w:rPr>
          <w:rFonts w:eastAsia="Times New Roman" w:cs="Calibri"/>
          <w:b/>
          <w:color w:val="2E74B5"/>
          <w:sz w:val="32"/>
          <w:szCs w:val="32"/>
        </w:rPr>
      </w:pPr>
      <w:r w:rsidRPr="007457D2">
        <w:rPr>
          <w:rFonts w:eastAsia="Times New Roman" w:cs="Calibri"/>
          <w:b/>
          <w:color w:val="2E74B5"/>
          <w:sz w:val="32"/>
          <w:szCs w:val="32"/>
        </w:rPr>
        <w:t xml:space="preserve">Pojištění </w:t>
      </w:r>
      <w:r>
        <w:rPr>
          <w:rFonts w:eastAsia="Times New Roman" w:cs="Calibri"/>
          <w:b/>
          <w:color w:val="2E74B5"/>
          <w:sz w:val="32"/>
          <w:szCs w:val="32"/>
        </w:rPr>
        <w:t>majetku a pojištění přerušení provozu</w:t>
      </w:r>
      <w:bookmarkEnd w:id="0"/>
    </w:p>
    <w:p w14:paraId="2051787A" w14:textId="77777777" w:rsidR="007457D2" w:rsidRDefault="007457D2" w:rsidP="00FB34AF">
      <w:pPr>
        <w:pStyle w:val="text11"/>
        <w:rPr>
          <w:rFonts w:ascii="Calibri" w:hAnsi="Calibri"/>
          <w:b w:val="0"/>
          <w:bCs w:val="0"/>
          <w:caps w:val="0"/>
          <w:color w:val="auto"/>
          <w:sz w:val="20"/>
          <w:szCs w:val="20"/>
        </w:rPr>
      </w:pPr>
    </w:p>
    <w:p w14:paraId="2B594052" w14:textId="77777777" w:rsidR="00FB34AF" w:rsidRDefault="00FB34AF" w:rsidP="0077758E">
      <w:pPr>
        <w:pStyle w:val="Zkladntext"/>
        <w:rPr>
          <w:rFonts w:ascii="Calibri" w:hAnsi="Calibri"/>
          <w:b/>
          <w:sz w:val="22"/>
          <w:szCs w:val="22"/>
          <w:highlight w:val="lightGray"/>
          <w:u w:val="single"/>
          <w:lang w:val="cs-CZ"/>
        </w:rPr>
      </w:pPr>
    </w:p>
    <w:p w14:paraId="1A054E47" w14:textId="77777777" w:rsidR="00A52C2D" w:rsidRPr="00FC08D2" w:rsidRDefault="00A52C2D" w:rsidP="0077758E">
      <w:pPr>
        <w:pStyle w:val="Zkladntext"/>
        <w:rPr>
          <w:rFonts w:ascii="Calibri" w:hAnsi="Calibri"/>
          <w:b/>
          <w:sz w:val="22"/>
          <w:szCs w:val="22"/>
          <w:u w:val="single"/>
        </w:rPr>
      </w:pPr>
      <w:r w:rsidRPr="00D33CE1">
        <w:rPr>
          <w:rFonts w:ascii="Calibri" w:hAnsi="Calibri"/>
          <w:b/>
          <w:sz w:val="22"/>
          <w:szCs w:val="22"/>
          <w:u w:val="single"/>
        </w:rPr>
        <w:t>Pojistník a pojištěný:</w:t>
      </w:r>
    </w:p>
    <w:p w14:paraId="6477F90B" w14:textId="77777777" w:rsidR="007457D2" w:rsidRDefault="007457D2" w:rsidP="0077758E">
      <w:pPr>
        <w:pStyle w:val="Zkladntext"/>
        <w:rPr>
          <w:rFonts w:ascii="Calibri" w:hAnsi="Calibri"/>
          <w:b/>
          <w:sz w:val="22"/>
          <w:szCs w:val="22"/>
          <w:lang w:val="cs-CZ"/>
        </w:rPr>
      </w:pPr>
      <w:r>
        <w:rPr>
          <w:rFonts w:ascii="Calibri" w:hAnsi="Calibri"/>
          <w:b/>
          <w:sz w:val="22"/>
          <w:szCs w:val="22"/>
          <w:lang w:val="cs-CZ"/>
        </w:rPr>
        <w:t>Nemocnice Nymburk s.r.o.</w:t>
      </w:r>
    </w:p>
    <w:p w14:paraId="0BDBABF6" w14:textId="74A6A516" w:rsidR="00A52C2D" w:rsidRPr="00760BF3" w:rsidRDefault="00A52C2D" w:rsidP="0077758E">
      <w:pPr>
        <w:pStyle w:val="Zkladntext"/>
        <w:rPr>
          <w:rFonts w:ascii="Calibri" w:hAnsi="Calibri"/>
          <w:sz w:val="22"/>
          <w:szCs w:val="22"/>
          <w:lang w:val="cs-CZ"/>
        </w:rPr>
      </w:pPr>
      <w:r w:rsidRPr="00FC08D2">
        <w:rPr>
          <w:rFonts w:ascii="Calibri" w:hAnsi="Calibri"/>
          <w:sz w:val="22"/>
          <w:szCs w:val="22"/>
        </w:rPr>
        <w:t xml:space="preserve">IČ: </w:t>
      </w:r>
      <w:r w:rsidR="007457D2" w:rsidRPr="007457D2">
        <w:rPr>
          <w:rFonts w:ascii="Calibri" w:hAnsi="Calibri"/>
          <w:sz w:val="22"/>
          <w:szCs w:val="22"/>
          <w:lang w:val="cs-CZ"/>
        </w:rPr>
        <w:t>28762886</w:t>
      </w:r>
    </w:p>
    <w:p w14:paraId="0560A80E" w14:textId="77777777" w:rsidR="008B697C" w:rsidRPr="00FC08D2" w:rsidRDefault="008B697C" w:rsidP="0077758E">
      <w:pPr>
        <w:spacing w:after="0" w:line="240" w:lineRule="auto"/>
        <w:jc w:val="both"/>
        <w:rPr>
          <w:rFonts w:eastAsia="Times New Roman"/>
          <w:lang w:eastAsia="cs-CZ"/>
        </w:rPr>
      </w:pPr>
    </w:p>
    <w:p w14:paraId="681BD097" w14:textId="77777777" w:rsidR="00EF365A" w:rsidRPr="00D33CE1" w:rsidRDefault="00EF365A" w:rsidP="004E5625">
      <w:pPr>
        <w:pStyle w:val="Zkladntext"/>
        <w:rPr>
          <w:rFonts w:ascii="Calibri" w:hAnsi="Calibri"/>
          <w:b/>
          <w:sz w:val="22"/>
          <w:szCs w:val="22"/>
          <w:u w:val="single"/>
        </w:rPr>
      </w:pPr>
      <w:r w:rsidRPr="00D33CE1">
        <w:rPr>
          <w:rFonts w:ascii="Calibri" w:hAnsi="Calibri"/>
          <w:b/>
          <w:sz w:val="22"/>
          <w:szCs w:val="22"/>
          <w:u w:val="single"/>
        </w:rPr>
        <w:t>Místo pojištění:</w:t>
      </w:r>
    </w:p>
    <w:p w14:paraId="0E1E10D8" w14:textId="77777777" w:rsidR="00EF365A" w:rsidRPr="00FC08D2" w:rsidRDefault="00EF365A" w:rsidP="0077758E">
      <w:pPr>
        <w:spacing w:after="0" w:line="240" w:lineRule="auto"/>
        <w:jc w:val="both"/>
        <w:rPr>
          <w:b/>
          <w:highlight w:val="lightGray"/>
        </w:rPr>
      </w:pPr>
    </w:p>
    <w:p w14:paraId="3F6478E9" w14:textId="77777777" w:rsidR="007457D2" w:rsidRDefault="007457D2" w:rsidP="007457D2">
      <w:pPr>
        <w:pStyle w:val="Bezmezer"/>
        <w:numPr>
          <w:ilvl w:val="0"/>
          <w:numId w:val="20"/>
        </w:numPr>
        <w:jc w:val="both"/>
      </w:pPr>
      <w:bookmarkStart w:id="1" w:name="_Hlk54535643"/>
      <w:r>
        <w:t>Velké Valy 237, 288 02 Nymburk</w:t>
      </w:r>
    </w:p>
    <w:p w14:paraId="0C7F5E23" w14:textId="507C225A" w:rsidR="007457D2" w:rsidRDefault="007457D2" w:rsidP="007457D2">
      <w:pPr>
        <w:pStyle w:val="Bezmezer"/>
        <w:numPr>
          <w:ilvl w:val="0"/>
          <w:numId w:val="20"/>
        </w:numPr>
        <w:jc w:val="both"/>
      </w:pPr>
      <w:r>
        <w:t>Boleslavská tř. 425, 288 02 Nymb</w:t>
      </w:r>
      <w:r w:rsidR="00F9009F">
        <w:t>u</w:t>
      </w:r>
      <w:r>
        <w:t>rk</w:t>
      </w:r>
    </w:p>
    <w:p w14:paraId="0D4B0FE1" w14:textId="77777777" w:rsidR="007457D2" w:rsidRDefault="007457D2" w:rsidP="007457D2">
      <w:pPr>
        <w:pStyle w:val="Bezmezer"/>
        <w:numPr>
          <w:ilvl w:val="0"/>
          <w:numId w:val="20"/>
        </w:numPr>
        <w:jc w:val="both"/>
      </w:pPr>
      <w:r>
        <w:t>5. května 71, 289 24 Milovice</w:t>
      </w:r>
    </w:p>
    <w:p w14:paraId="13ACCFD5" w14:textId="77777777" w:rsidR="007457D2" w:rsidRDefault="007457D2" w:rsidP="007457D2">
      <w:pPr>
        <w:pStyle w:val="Bezmezer"/>
        <w:numPr>
          <w:ilvl w:val="0"/>
          <w:numId w:val="20"/>
        </w:numPr>
        <w:jc w:val="both"/>
      </w:pPr>
      <w:r>
        <w:t xml:space="preserve">U Barborky 374, 289 </w:t>
      </w:r>
      <w:proofErr w:type="gramStart"/>
      <w:r>
        <w:t>34  Rožďalovice</w:t>
      </w:r>
      <w:proofErr w:type="gramEnd"/>
    </w:p>
    <w:p w14:paraId="0D192BBE" w14:textId="67ADCE7B" w:rsidR="007457D2" w:rsidRDefault="007457D2" w:rsidP="007457D2">
      <w:pPr>
        <w:pStyle w:val="Bezmezer"/>
        <w:numPr>
          <w:ilvl w:val="0"/>
          <w:numId w:val="20"/>
        </w:numPr>
        <w:jc w:val="both"/>
      </w:pPr>
      <w:r>
        <w:t xml:space="preserve">Křinec 184, 289 </w:t>
      </w:r>
      <w:proofErr w:type="gramStart"/>
      <w:r>
        <w:t>33  Křinec</w:t>
      </w:r>
      <w:proofErr w:type="gramEnd"/>
    </w:p>
    <w:bookmarkEnd w:id="1"/>
    <w:p w14:paraId="4C4631B4" w14:textId="52E75BF9" w:rsidR="00AD41BB" w:rsidRPr="00C95FC4" w:rsidRDefault="001D1EE9" w:rsidP="00C97D29">
      <w:pPr>
        <w:pStyle w:val="Bezmezer"/>
        <w:numPr>
          <w:ilvl w:val="0"/>
          <w:numId w:val="20"/>
        </w:numPr>
        <w:jc w:val="both"/>
      </w:pPr>
      <w:r w:rsidRPr="00C95FC4">
        <w:t>další místa na území České republiky, která pojištěný vlastní či po právu užívá nebo kde se nachází majetek pojištěného, případně na kterých provádí objednanou činnost.</w:t>
      </w:r>
      <w:r w:rsidR="0098014B" w:rsidRPr="00C95FC4">
        <w:t xml:space="preserve"> Pro tato </w:t>
      </w:r>
      <w:r w:rsidR="003E5679" w:rsidRPr="00C95FC4">
        <w:t xml:space="preserve">další </w:t>
      </w:r>
      <w:r w:rsidR="0098014B" w:rsidRPr="00C95FC4">
        <w:t>místa</w:t>
      </w:r>
      <w:r w:rsidR="003E5679" w:rsidRPr="00C95FC4">
        <w:t xml:space="preserve"> na území ČR</w:t>
      </w:r>
      <w:r w:rsidR="0098014B" w:rsidRPr="00C95FC4">
        <w:t xml:space="preserve"> se sjednává lim</w:t>
      </w:r>
      <w:r w:rsidR="00C97D29" w:rsidRPr="00C95FC4">
        <w:t xml:space="preserve">it plnění ve výši </w:t>
      </w:r>
      <w:r w:rsidR="007457D2">
        <w:t>5</w:t>
      </w:r>
      <w:r w:rsidR="00C97D29" w:rsidRPr="00C95FC4">
        <w:t> 000 000 Kč,</w:t>
      </w:r>
    </w:p>
    <w:p w14:paraId="3BEDA447" w14:textId="1DC2B851" w:rsidR="00C97D29" w:rsidRPr="00C95FC4" w:rsidRDefault="00AD41BB" w:rsidP="00D32DE0">
      <w:pPr>
        <w:pStyle w:val="Bezmezer"/>
        <w:numPr>
          <w:ilvl w:val="0"/>
          <w:numId w:val="20"/>
        </w:numPr>
        <w:jc w:val="both"/>
      </w:pPr>
      <w:r w:rsidRPr="00C95FC4">
        <w:t>m</w:t>
      </w:r>
      <w:r w:rsidR="00C97D29" w:rsidRPr="00C95FC4">
        <w:t xml:space="preserve">ístem pojištění pro </w:t>
      </w:r>
      <w:r w:rsidR="00E51F23">
        <w:t>přenosnou</w:t>
      </w:r>
      <w:r w:rsidR="00C97D29" w:rsidRPr="00C95FC4">
        <w:t xml:space="preserve"> elektroniku je území celého světa, </w:t>
      </w:r>
      <w:r w:rsidR="0064476A" w:rsidRPr="00C95FC4">
        <w:t xml:space="preserve">pro území mimo Českou republiku je stanoven limit plnění ve výši </w:t>
      </w:r>
      <w:r w:rsidR="00D32DE0">
        <w:t>3</w:t>
      </w:r>
      <w:r w:rsidR="0064476A" w:rsidRPr="00C95FC4">
        <w:t>00 000 Kč.</w:t>
      </w:r>
    </w:p>
    <w:p w14:paraId="26C40220" w14:textId="77777777" w:rsidR="00EF365A" w:rsidRPr="00FC08D2" w:rsidRDefault="00EF365A" w:rsidP="0077758E">
      <w:pPr>
        <w:pStyle w:val="Bezmezer"/>
        <w:jc w:val="both"/>
        <w:rPr>
          <w:color w:val="FF0000"/>
        </w:rPr>
      </w:pPr>
    </w:p>
    <w:p w14:paraId="4892404B" w14:textId="77777777" w:rsidR="005B063D" w:rsidRPr="00FC08D2" w:rsidRDefault="005B063D" w:rsidP="0077758E">
      <w:pPr>
        <w:pStyle w:val="Bezmezer"/>
        <w:jc w:val="both"/>
        <w:rPr>
          <w:color w:val="FF0000"/>
        </w:rPr>
      </w:pPr>
    </w:p>
    <w:p w14:paraId="2DB95FB4" w14:textId="77777777" w:rsidR="00EF365A" w:rsidRPr="00D33CE1" w:rsidRDefault="00EF365A" w:rsidP="001B3C6F">
      <w:pPr>
        <w:shd w:val="clear" w:color="auto" w:fill="F7CAAC" w:themeFill="accent2" w:themeFillTint="66"/>
        <w:spacing w:after="0" w:line="240" w:lineRule="auto"/>
        <w:jc w:val="both"/>
        <w:rPr>
          <w:b/>
        </w:rPr>
      </w:pPr>
      <w:r w:rsidRPr="00D33CE1">
        <w:rPr>
          <w:b/>
        </w:rPr>
        <w:t>1. Pojištění živelní</w:t>
      </w:r>
    </w:p>
    <w:p w14:paraId="3B9949CB" w14:textId="77777777" w:rsidR="00EF365A" w:rsidRPr="00D33CE1" w:rsidRDefault="00EF365A" w:rsidP="0077758E">
      <w:pPr>
        <w:spacing w:after="0" w:line="240" w:lineRule="auto"/>
        <w:jc w:val="both"/>
        <w:rPr>
          <w:b/>
        </w:rPr>
      </w:pPr>
    </w:p>
    <w:p w14:paraId="02B0BC94" w14:textId="77777777" w:rsidR="00EF365A" w:rsidRPr="00FC08D2" w:rsidRDefault="00EF365A" w:rsidP="0077758E">
      <w:pPr>
        <w:spacing w:after="0" w:line="240" w:lineRule="auto"/>
        <w:jc w:val="both"/>
      </w:pPr>
      <w:r w:rsidRPr="00D33CE1">
        <w:rPr>
          <w:b/>
        </w:rPr>
        <w:t>1.1. FLEXA</w:t>
      </w:r>
      <w:r w:rsidRPr="00D33CE1">
        <w:t xml:space="preserve"> (požár, přímý úder blesku, výbuch, pád letadla, jeho čá</w:t>
      </w:r>
      <w:r w:rsidR="00170DDE" w:rsidRPr="00D33CE1">
        <w:t>stí</w:t>
      </w:r>
      <w:r w:rsidRPr="00D33CE1">
        <w:t xml:space="preserve"> nebo jeho nákladu)</w:t>
      </w:r>
      <w:r w:rsidRPr="00FC08D2">
        <w:t xml:space="preserve"> </w:t>
      </w:r>
    </w:p>
    <w:p w14:paraId="513F2659" w14:textId="77777777" w:rsidR="00EF365A" w:rsidRPr="00FC08D2" w:rsidRDefault="00EF365A" w:rsidP="0077758E">
      <w:pPr>
        <w:spacing w:after="0" w:line="240" w:lineRule="auto"/>
        <w:jc w:val="both"/>
      </w:pPr>
    </w:p>
    <w:p w14:paraId="7EAF0118" w14:textId="3855F863" w:rsidR="005B063D" w:rsidRPr="00FC08D2" w:rsidRDefault="005B063D" w:rsidP="0077758E">
      <w:pPr>
        <w:pStyle w:val="Bezmezer"/>
        <w:jc w:val="both"/>
      </w:pPr>
      <w:r w:rsidRPr="00FC08D2">
        <w:rPr>
          <w:b/>
          <w:u w:val="single"/>
        </w:rPr>
        <w:t xml:space="preserve">1. </w:t>
      </w:r>
      <w:r w:rsidR="004E5625">
        <w:rPr>
          <w:b/>
          <w:u w:val="single"/>
        </w:rPr>
        <w:t>Soubor vlastních a cizích stavebních součástí</w:t>
      </w:r>
      <w:r w:rsidR="005E2FE4">
        <w:rPr>
          <w:b/>
          <w:u w:val="single"/>
        </w:rPr>
        <w:t xml:space="preserve"> a zábranných prostředků</w:t>
      </w:r>
      <w:r w:rsidR="00803AF9">
        <w:rPr>
          <w:b/>
          <w:color w:val="FF0000"/>
          <w:u w:val="single"/>
        </w:rPr>
        <w:t xml:space="preserve"> </w:t>
      </w:r>
      <w:r w:rsidRPr="00FC08D2">
        <w:t xml:space="preserve">– </w:t>
      </w:r>
      <w:r w:rsidR="004E5625">
        <w:t xml:space="preserve">Stavební součásti </w:t>
      </w:r>
      <w:r w:rsidR="00803AF9" w:rsidRPr="00583947">
        <w:t>budov, stav</w:t>
      </w:r>
      <w:r w:rsidR="004E5625">
        <w:t>eb</w:t>
      </w:r>
      <w:r w:rsidR="00803AF9" w:rsidRPr="00583947">
        <w:t>, hal</w:t>
      </w:r>
      <w:r w:rsidR="005E2FE4">
        <w:t>,</w:t>
      </w:r>
      <w:r w:rsidR="005E2FE4" w:rsidRPr="005E2FE4">
        <w:t xml:space="preserve"> </w:t>
      </w:r>
      <w:r w:rsidR="005E2FE4" w:rsidRPr="00583947">
        <w:t>příslušenství uvnitř i vně budov, EZS, kamerových systémů, elektroniky, anténních systémů a zábranných prostředků</w:t>
      </w:r>
      <w:r w:rsidR="004E5625">
        <w:t>,</w:t>
      </w:r>
      <w:r w:rsidR="005E2FE4">
        <w:t xml:space="preserve"> dále stavební součásti</w:t>
      </w:r>
      <w:r w:rsidR="004E5625">
        <w:t xml:space="preserve"> ostatních staveb, </w:t>
      </w:r>
      <w:r w:rsidRPr="00583947">
        <w:t xml:space="preserve"> </w:t>
      </w:r>
      <w:r w:rsidR="004E5625" w:rsidRPr="00955ECA">
        <w:t>komunikace, zpevněné plochy, chodníky, parkoviště, oplocení, opěrné zdi, dopravní značení, sloupy, stožáry, septiky, studny, podzemní jímky, venkovní zábradlí, závory, brány, veřejné osvětlení, kanalizační a jiné šacht</w:t>
      </w:r>
      <w:r w:rsidR="005E2FE4">
        <w:t>y</w:t>
      </w:r>
      <w:r w:rsidR="004E5625" w:rsidRPr="00955ECA">
        <w:t xml:space="preserve">, inženýrské sítě, nadzemní vedení a rozvody apod., </w:t>
      </w:r>
      <w:r w:rsidR="004E5625" w:rsidRPr="003C05D3">
        <w:t>včetně rozestavěných staveb,</w:t>
      </w:r>
      <w:r w:rsidR="004E5625" w:rsidRPr="00955ECA">
        <w:t xml:space="preserve"> elektroniky, venkovních úprav, sítí technického vybavení, podzemních </w:t>
      </w:r>
      <w:r w:rsidR="004E5625" w:rsidRPr="00182D35">
        <w:t>staveb s výjimkou staveb na vodních tocích</w:t>
      </w:r>
      <w:r w:rsidR="005E2FE4">
        <w:t>.</w:t>
      </w:r>
    </w:p>
    <w:p w14:paraId="1AC9E19E" w14:textId="77777777" w:rsidR="00B10EE5" w:rsidRPr="00FC08D2" w:rsidRDefault="00B10EE5" w:rsidP="0077758E">
      <w:pPr>
        <w:pStyle w:val="Bezmezer"/>
        <w:jc w:val="both"/>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726"/>
        <w:gridCol w:w="2887"/>
      </w:tblGrid>
      <w:tr w:rsidR="00BC27D0" w:rsidRPr="00FC08D2" w14:paraId="10640B60" w14:textId="77777777" w:rsidTr="0029686F">
        <w:trPr>
          <w:trHeight w:val="368"/>
        </w:trPr>
        <w:tc>
          <w:tcPr>
            <w:tcW w:w="3560" w:type="dxa"/>
            <w:shd w:val="clear" w:color="auto" w:fill="BDD6EE" w:themeFill="accent5" w:themeFillTint="66"/>
          </w:tcPr>
          <w:p w14:paraId="4DE13374" w14:textId="77777777" w:rsidR="00BC27D0" w:rsidRPr="00FC08D2" w:rsidRDefault="00BC27D0" w:rsidP="0077758E">
            <w:pPr>
              <w:spacing w:after="0" w:line="240" w:lineRule="auto"/>
              <w:jc w:val="center"/>
              <w:rPr>
                <w:b/>
              </w:rPr>
            </w:pPr>
            <w:r w:rsidRPr="00FC08D2">
              <w:rPr>
                <w:b/>
              </w:rPr>
              <w:t>Pojistná částka/limit plnění</w:t>
            </w:r>
          </w:p>
        </w:tc>
        <w:tc>
          <w:tcPr>
            <w:tcW w:w="2726" w:type="dxa"/>
            <w:shd w:val="clear" w:color="auto" w:fill="BDD6EE" w:themeFill="accent5" w:themeFillTint="66"/>
          </w:tcPr>
          <w:p w14:paraId="537FC6CD" w14:textId="77777777" w:rsidR="00BC27D0" w:rsidRPr="00FC08D2" w:rsidRDefault="00BC27D0" w:rsidP="0077758E">
            <w:pPr>
              <w:spacing w:after="0" w:line="240" w:lineRule="auto"/>
              <w:jc w:val="center"/>
              <w:rPr>
                <w:b/>
              </w:rPr>
            </w:pPr>
            <w:r w:rsidRPr="00FC08D2">
              <w:rPr>
                <w:b/>
              </w:rPr>
              <w:t>Spoluúčast</w:t>
            </w:r>
          </w:p>
        </w:tc>
        <w:tc>
          <w:tcPr>
            <w:tcW w:w="2887" w:type="dxa"/>
            <w:shd w:val="clear" w:color="auto" w:fill="BDD6EE" w:themeFill="accent5" w:themeFillTint="66"/>
          </w:tcPr>
          <w:p w14:paraId="67FA8242" w14:textId="77777777" w:rsidR="00BC27D0" w:rsidRPr="00FC08D2" w:rsidRDefault="00BC27D0" w:rsidP="0077758E">
            <w:pPr>
              <w:spacing w:after="0" w:line="240" w:lineRule="auto"/>
              <w:jc w:val="center"/>
              <w:rPr>
                <w:b/>
              </w:rPr>
            </w:pPr>
            <w:r w:rsidRPr="00FC08D2">
              <w:rPr>
                <w:b/>
              </w:rPr>
              <w:t>Pojistná hodnota</w:t>
            </w:r>
          </w:p>
        </w:tc>
      </w:tr>
      <w:tr w:rsidR="00BC27D0" w:rsidRPr="00FC08D2" w14:paraId="77424AA2" w14:textId="77777777" w:rsidTr="00BC27D0">
        <w:trPr>
          <w:trHeight w:val="322"/>
        </w:trPr>
        <w:tc>
          <w:tcPr>
            <w:tcW w:w="3560" w:type="dxa"/>
            <w:vAlign w:val="center"/>
          </w:tcPr>
          <w:p w14:paraId="69151CD7" w14:textId="6B3A853E" w:rsidR="00BC27D0" w:rsidRPr="00301757" w:rsidRDefault="000046DC" w:rsidP="0077758E">
            <w:pPr>
              <w:spacing w:after="0" w:line="240" w:lineRule="auto"/>
              <w:jc w:val="center"/>
            </w:pPr>
            <w:r>
              <w:t>3</w:t>
            </w:r>
            <w:r w:rsidR="00BC27D0" w:rsidRPr="00301757">
              <w:t xml:space="preserve"> 000 000 Kč</w:t>
            </w:r>
          </w:p>
        </w:tc>
        <w:tc>
          <w:tcPr>
            <w:tcW w:w="2726" w:type="dxa"/>
            <w:vAlign w:val="center"/>
          </w:tcPr>
          <w:p w14:paraId="6A00626F" w14:textId="2ED26C5C" w:rsidR="00BC27D0" w:rsidRPr="00FC08D2" w:rsidRDefault="0086255A" w:rsidP="0077758E">
            <w:pPr>
              <w:spacing w:after="0" w:line="240" w:lineRule="auto"/>
              <w:jc w:val="center"/>
            </w:pPr>
            <w:r>
              <w:t>2</w:t>
            </w:r>
            <w:r w:rsidR="00E207D6">
              <w:t>0</w:t>
            </w:r>
            <w:r w:rsidR="002252F4">
              <w:t> 000 Kč</w:t>
            </w:r>
          </w:p>
        </w:tc>
        <w:tc>
          <w:tcPr>
            <w:tcW w:w="2887" w:type="dxa"/>
            <w:vAlign w:val="center"/>
          </w:tcPr>
          <w:p w14:paraId="2BCD1F9B" w14:textId="3C66E4DB" w:rsidR="00BC27D0" w:rsidRPr="00FC08D2" w:rsidRDefault="005E2FE4" w:rsidP="0077758E">
            <w:pPr>
              <w:spacing w:after="0" w:line="240" w:lineRule="auto"/>
              <w:jc w:val="center"/>
            </w:pPr>
            <w:r>
              <w:t>První riziko</w:t>
            </w:r>
            <w:r w:rsidR="00FC1DC4">
              <w:t xml:space="preserve"> na novou </w:t>
            </w:r>
            <w:r w:rsidR="0008234F">
              <w:t>cenu</w:t>
            </w:r>
          </w:p>
        </w:tc>
      </w:tr>
    </w:tbl>
    <w:p w14:paraId="45361413" w14:textId="77777777" w:rsidR="00617776" w:rsidRPr="00FC08D2" w:rsidRDefault="00617776" w:rsidP="0077758E">
      <w:pPr>
        <w:pStyle w:val="Bezmezer"/>
        <w:jc w:val="both"/>
        <w:rPr>
          <w:b/>
          <w:u w:val="single"/>
        </w:rPr>
      </w:pPr>
    </w:p>
    <w:p w14:paraId="1D323E23" w14:textId="77777777" w:rsidR="00F7322B" w:rsidRPr="00257363" w:rsidRDefault="00F7322B" w:rsidP="0077758E">
      <w:pPr>
        <w:pStyle w:val="Bezmezer"/>
        <w:jc w:val="both"/>
        <w:rPr>
          <w:b/>
          <w:u w:val="single"/>
        </w:rPr>
      </w:pPr>
    </w:p>
    <w:p w14:paraId="2B867A4A" w14:textId="48B8CD99" w:rsidR="007718FB" w:rsidRDefault="005E2FE4" w:rsidP="0077758E">
      <w:pPr>
        <w:pStyle w:val="Bezmezer"/>
        <w:jc w:val="both"/>
      </w:pPr>
      <w:bookmarkStart w:id="2" w:name="_Hlk54614190"/>
      <w:r>
        <w:rPr>
          <w:b/>
          <w:u w:val="single"/>
        </w:rPr>
        <w:lastRenderedPageBreak/>
        <w:t>2</w:t>
      </w:r>
      <w:r w:rsidR="007718FB" w:rsidRPr="00FC08D2">
        <w:rPr>
          <w:b/>
          <w:u w:val="single"/>
        </w:rPr>
        <w:t>. Soubor movitých věcí vlastních i cizích</w:t>
      </w:r>
      <w:r w:rsidR="007718FB" w:rsidRPr="00FC08D2">
        <w:t xml:space="preserve"> –</w:t>
      </w:r>
      <w:r w:rsidR="00325CC5" w:rsidRPr="00FC08D2">
        <w:t xml:space="preserve"> </w:t>
      </w:r>
      <w:r w:rsidR="00F221A9" w:rsidRPr="00F221A9">
        <w:t>DHM, stroje, zařízení, přístroje, nástroje</w:t>
      </w:r>
      <w:r w:rsidR="007718FB" w:rsidRPr="00F221A9">
        <w:t xml:space="preserve">, inventář, </w:t>
      </w:r>
      <w:r w:rsidR="00230744" w:rsidRPr="00F221A9">
        <w:t>elektronika,</w:t>
      </w:r>
      <w:r w:rsidR="00DB3AFB" w:rsidRPr="00F221A9">
        <w:t xml:space="preserve"> mobilní elektronika</w:t>
      </w:r>
      <w:r w:rsidR="00F8136B" w:rsidRPr="00F221A9">
        <w:t xml:space="preserve"> vč. přenosné</w:t>
      </w:r>
      <w:r w:rsidR="00FE3064" w:rsidRPr="00F221A9">
        <w:t xml:space="preserve">, </w:t>
      </w:r>
      <w:r w:rsidR="007718FB" w:rsidRPr="00F221A9">
        <w:t xml:space="preserve">drobný </w:t>
      </w:r>
      <w:r w:rsidR="00325CC5" w:rsidRPr="00F221A9">
        <w:t>dlouhodobý hmotný majetek</w:t>
      </w:r>
      <w:r w:rsidR="007718FB" w:rsidRPr="00F221A9">
        <w:t xml:space="preserve"> vč. </w:t>
      </w:r>
      <w:r w:rsidR="00325CC5" w:rsidRPr="00F221A9">
        <w:t>majetku</w:t>
      </w:r>
      <w:r w:rsidR="007718FB" w:rsidRPr="00F221A9">
        <w:t xml:space="preserve"> v operativn</w:t>
      </w:r>
      <w:r w:rsidR="00441EB0" w:rsidRPr="00F221A9">
        <w:t>í evidenci,</w:t>
      </w:r>
      <w:r w:rsidR="00FE3064" w:rsidRPr="00F221A9">
        <w:t xml:space="preserve"> knihovního fondu</w:t>
      </w:r>
      <w:r w:rsidR="002876EE">
        <w:t xml:space="preserve">, </w:t>
      </w:r>
      <w:r w:rsidR="002876EE" w:rsidRPr="002876EE">
        <w:t>konzervačního a historického knihovního fondu, sbírek apod.</w:t>
      </w:r>
      <w:proofErr w:type="gramStart"/>
      <w:r w:rsidR="00FE3064" w:rsidRPr="00F221A9">
        <w:t>,</w:t>
      </w:r>
      <w:r w:rsidR="00441EB0" w:rsidRPr="00F221A9">
        <w:t xml:space="preserve"> </w:t>
      </w:r>
      <w:r w:rsidR="00FE3064" w:rsidRPr="00F221A9">
        <w:t xml:space="preserve"> automatů</w:t>
      </w:r>
      <w:proofErr w:type="gramEnd"/>
      <w:r w:rsidR="0051706E" w:rsidRPr="00F221A9">
        <w:t xml:space="preserve">, </w:t>
      </w:r>
      <w:r w:rsidR="00441EB0" w:rsidRPr="00F221A9">
        <w:t>účtů spotřeby</w:t>
      </w:r>
      <w:r w:rsidR="000C4B85" w:rsidRPr="00F221A9">
        <w:t xml:space="preserve">, vzorků, modelů </w:t>
      </w:r>
      <w:r w:rsidR="007718FB" w:rsidRPr="00F221A9">
        <w:t>apod. s výjimkou dopravních prostředků s přidělenou RZ</w:t>
      </w:r>
      <w:r w:rsidR="00290351" w:rsidRPr="00F221A9">
        <w:t>.</w:t>
      </w:r>
      <w:r w:rsidR="000348E3">
        <w:rPr>
          <w:color w:val="FF0000"/>
        </w:rPr>
        <w:t xml:space="preserve"> </w:t>
      </w:r>
    </w:p>
    <w:p w14:paraId="7A67AD48" w14:textId="77777777" w:rsidR="0014610F" w:rsidRPr="005E2FE4" w:rsidRDefault="0014610F" w:rsidP="0077758E">
      <w:pPr>
        <w:pStyle w:val="Bezmeze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2571"/>
        <w:gridCol w:w="3157"/>
      </w:tblGrid>
      <w:tr w:rsidR="001C14B9" w:rsidRPr="00FC08D2" w14:paraId="2159793A" w14:textId="77777777" w:rsidTr="0029686F">
        <w:trPr>
          <w:trHeight w:val="342"/>
        </w:trPr>
        <w:tc>
          <w:tcPr>
            <w:tcW w:w="1839" w:type="pct"/>
            <w:shd w:val="clear" w:color="auto" w:fill="BDD6EE" w:themeFill="accent5" w:themeFillTint="66"/>
          </w:tcPr>
          <w:p w14:paraId="766FA23B" w14:textId="77777777" w:rsidR="001C14B9" w:rsidRPr="00327200" w:rsidRDefault="001C14B9" w:rsidP="0077758E">
            <w:pPr>
              <w:spacing w:after="0" w:line="240" w:lineRule="auto"/>
              <w:jc w:val="center"/>
              <w:rPr>
                <w:b/>
              </w:rPr>
            </w:pPr>
            <w:r w:rsidRPr="00327200">
              <w:rPr>
                <w:b/>
              </w:rPr>
              <w:t>Pojistná částka/limit plnění</w:t>
            </w:r>
          </w:p>
        </w:tc>
        <w:tc>
          <w:tcPr>
            <w:tcW w:w="1418" w:type="pct"/>
            <w:shd w:val="clear" w:color="auto" w:fill="BDD6EE" w:themeFill="accent5" w:themeFillTint="66"/>
          </w:tcPr>
          <w:p w14:paraId="33AFB409" w14:textId="77777777" w:rsidR="001C14B9" w:rsidRPr="00FC08D2" w:rsidRDefault="001C14B9" w:rsidP="0077758E">
            <w:pPr>
              <w:spacing w:after="0" w:line="240" w:lineRule="auto"/>
              <w:jc w:val="center"/>
              <w:rPr>
                <w:b/>
              </w:rPr>
            </w:pPr>
            <w:r w:rsidRPr="00FC08D2">
              <w:rPr>
                <w:b/>
              </w:rPr>
              <w:t>Spoluúčast</w:t>
            </w:r>
          </w:p>
        </w:tc>
        <w:tc>
          <w:tcPr>
            <w:tcW w:w="1742" w:type="pct"/>
            <w:shd w:val="clear" w:color="auto" w:fill="BDD6EE" w:themeFill="accent5" w:themeFillTint="66"/>
          </w:tcPr>
          <w:p w14:paraId="769A87D2" w14:textId="77777777" w:rsidR="001C14B9" w:rsidRPr="00FC08D2" w:rsidRDefault="001C14B9" w:rsidP="0077758E">
            <w:pPr>
              <w:spacing w:after="0" w:line="240" w:lineRule="auto"/>
              <w:jc w:val="center"/>
              <w:rPr>
                <w:b/>
              </w:rPr>
            </w:pPr>
            <w:r w:rsidRPr="00FC08D2">
              <w:rPr>
                <w:b/>
              </w:rPr>
              <w:t>Pojistná hodnota</w:t>
            </w:r>
          </w:p>
        </w:tc>
      </w:tr>
      <w:tr w:rsidR="001C14B9" w:rsidRPr="00FC08D2" w14:paraId="5795C4EB" w14:textId="77777777" w:rsidTr="001C14B9">
        <w:trPr>
          <w:trHeight w:val="257"/>
        </w:trPr>
        <w:tc>
          <w:tcPr>
            <w:tcW w:w="1839" w:type="pct"/>
            <w:vAlign w:val="center"/>
          </w:tcPr>
          <w:p w14:paraId="008C7C51" w14:textId="58366207" w:rsidR="001C14B9" w:rsidRPr="00327200" w:rsidRDefault="00943752" w:rsidP="0077758E">
            <w:pPr>
              <w:spacing w:after="0" w:line="240" w:lineRule="auto"/>
              <w:jc w:val="center"/>
            </w:pPr>
            <w:r>
              <w:t>255</w:t>
            </w:r>
            <w:r w:rsidR="001C14B9" w:rsidRPr="00FE1290">
              <w:t> 000 000 Kč</w:t>
            </w:r>
          </w:p>
        </w:tc>
        <w:tc>
          <w:tcPr>
            <w:tcW w:w="1418" w:type="pct"/>
            <w:vAlign w:val="center"/>
          </w:tcPr>
          <w:p w14:paraId="2889E587" w14:textId="7FAC7C4D" w:rsidR="001C14B9" w:rsidRPr="00FC08D2" w:rsidRDefault="0086255A" w:rsidP="0077758E">
            <w:pPr>
              <w:spacing w:after="0" w:line="240" w:lineRule="auto"/>
              <w:jc w:val="center"/>
            </w:pPr>
            <w:r>
              <w:t>20</w:t>
            </w:r>
            <w:r w:rsidR="00584670">
              <w:t> 000 Kč</w:t>
            </w:r>
          </w:p>
        </w:tc>
        <w:tc>
          <w:tcPr>
            <w:tcW w:w="1742" w:type="pct"/>
            <w:vAlign w:val="center"/>
          </w:tcPr>
          <w:p w14:paraId="4D372510" w14:textId="75BBC0B4" w:rsidR="001C14B9" w:rsidRPr="00FC08D2" w:rsidRDefault="005E2FE4" w:rsidP="0077758E">
            <w:pPr>
              <w:spacing w:after="0" w:line="240" w:lineRule="auto"/>
              <w:jc w:val="center"/>
            </w:pPr>
            <w:r>
              <w:t>Nová cena</w:t>
            </w:r>
          </w:p>
        </w:tc>
      </w:tr>
      <w:bookmarkEnd w:id="2"/>
    </w:tbl>
    <w:p w14:paraId="7112117A" w14:textId="77777777" w:rsidR="0087686A" w:rsidRDefault="0087686A" w:rsidP="0077758E">
      <w:pPr>
        <w:spacing w:after="0" w:line="240" w:lineRule="auto"/>
        <w:jc w:val="both"/>
        <w:rPr>
          <w:b/>
          <w:u w:val="single"/>
        </w:rPr>
      </w:pPr>
    </w:p>
    <w:p w14:paraId="32C5FE7C" w14:textId="58F95A82" w:rsidR="007718FB" w:rsidRPr="001C14B9" w:rsidRDefault="005E2FE4" w:rsidP="0077758E">
      <w:pPr>
        <w:spacing w:after="0" w:line="240" w:lineRule="auto"/>
        <w:jc w:val="both"/>
        <w:rPr>
          <w:b/>
          <w:color w:val="FF0000"/>
          <w:u w:val="single"/>
        </w:rPr>
      </w:pPr>
      <w:r>
        <w:rPr>
          <w:b/>
          <w:u w:val="single"/>
        </w:rPr>
        <w:t>3</w:t>
      </w:r>
      <w:r w:rsidR="007718FB" w:rsidRPr="00FC08D2">
        <w:rPr>
          <w:b/>
          <w:u w:val="single"/>
        </w:rPr>
        <w:t xml:space="preserve">. Soubor </w:t>
      </w:r>
      <w:r w:rsidR="00F23AF4" w:rsidRPr="00FC08D2">
        <w:rPr>
          <w:b/>
          <w:u w:val="single"/>
        </w:rPr>
        <w:t xml:space="preserve">vlastních a cizích </w:t>
      </w:r>
      <w:r w:rsidR="007718FB" w:rsidRPr="00FC08D2">
        <w:rPr>
          <w:b/>
          <w:u w:val="single"/>
        </w:rPr>
        <w:t xml:space="preserve">zásob </w:t>
      </w:r>
    </w:p>
    <w:p w14:paraId="70C0B0C3" w14:textId="77777777" w:rsidR="007718FB" w:rsidRPr="00FC08D2" w:rsidRDefault="007718FB" w:rsidP="0077758E">
      <w:pPr>
        <w:spacing w:after="0" w:line="240" w:lineRule="auto"/>
        <w:jc w:val="both"/>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2499"/>
        <w:gridCol w:w="3322"/>
      </w:tblGrid>
      <w:tr w:rsidR="001C14B9" w:rsidRPr="00FC08D2" w14:paraId="0E07759F" w14:textId="77777777" w:rsidTr="0029686F">
        <w:trPr>
          <w:trHeight w:val="346"/>
        </w:trPr>
        <w:tc>
          <w:tcPr>
            <w:tcW w:w="1788" w:type="pct"/>
            <w:shd w:val="clear" w:color="auto" w:fill="BDD6EE" w:themeFill="accent5" w:themeFillTint="66"/>
            <w:vAlign w:val="center"/>
          </w:tcPr>
          <w:p w14:paraId="2B4A2140" w14:textId="77777777" w:rsidR="001C14B9" w:rsidRPr="00FC08D2" w:rsidRDefault="001C14B9" w:rsidP="0077758E">
            <w:pPr>
              <w:spacing w:after="0" w:line="240" w:lineRule="auto"/>
              <w:jc w:val="center"/>
              <w:rPr>
                <w:b/>
              </w:rPr>
            </w:pPr>
            <w:r w:rsidRPr="00FC08D2">
              <w:rPr>
                <w:b/>
              </w:rPr>
              <w:t>Pojistná částka/limit plnění</w:t>
            </w:r>
          </w:p>
        </w:tc>
        <w:tc>
          <w:tcPr>
            <w:tcW w:w="1379" w:type="pct"/>
            <w:shd w:val="clear" w:color="auto" w:fill="BDD6EE" w:themeFill="accent5" w:themeFillTint="66"/>
            <w:vAlign w:val="center"/>
          </w:tcPr>
          <w:p w14:paraId="55EA6A31" w14:textId="77777777" w:rsidR="001C14B9" w:rsidRPr="00FC08D2" w:rsidRDefault="001C14B9" w:rsidP="0077758E">
            <w:pPr>
              <w:spacing w:after="0" w:line="240" w:lineRule="auto"/>
              <w:jc w:val="center"/>
              <w:rPr>
                <w:b/>
              </w:rPr>
            </w:pPr>
            <w:r w:rsidRPr="00FC08D2">
              <w:rPr>
                <w:b/>
              </w:rPr>
              <w:t>Spoluúčast</w:t>
            </w:r>
          </w:p>
        </w:tc>
        <w:tc>
          <w:tcPr>
            <w:tcW w:w="1833" w:type="pct"/>
            <w:shd w:val="clear" w:color="auto" w:fill="BDD6EE" w:themeFill="accent5" w:themeFillTint="66"/>
            <w:vAlign w:val="center"/>
          </w:tcPr>
          <w:p w14:paraId="1CF8C0C1" w14:textId="77777777" w:rsidR="001C14B9" w:rsidRPr="00FC08D2" w:rsidRDefault="001C14B9" w:rsidP="0077758E">
            <w:pPr>
              <w:spacing w:after="0" w:line="240" w:lineRule="auto"/>
              <w:jc w:val="center"/>
              <w:rPr>
                <w:b/>
              </w:rPr>
            </w:pPr>
            <w:r w:rsidRPr="00FC08D2">
              <w:rPr>
                <w:b/>
              </w:rPr>
              <w:t>Pojistná hodnota</w:t>
            </w:r>
          </w:p>
        </w:tc>
      </w:tr>
      <w:tr w:rsidR="001C14B9" w:rsidRPr="00FC08D2" w14:paraId="0EE67077" w14:textId="77777777" w:rsidTr="001C14B9">
        <w:trPr>
          <w:trHeight w:val="202"/>
        </w:trPr>
        <w:tc>
          <w:tcPr>
            <w:tcW w:w="1788" w:type="pct"/>
            <w:vAlign w:val="center"/>
          </w:tcPr>
          <w:p w14:paraId="4F380F81" w14:textId="3071F28E" w:rsidR="001C14B9" w:rsidRPr="006C73CE" w:rsidRDefault="005E2FE4" w:rsidP="0077758E">
            <w:pPr>
              <w:spacing w:after="0" w:line="240" w:lineRule="auto"/>
              <w:jc w:val="center"/>
            </w:pPr>
            <w:r>
              <w:t>5</w:t>
            </w:r>
            <w:r w:rsidR="001C14B9" w:rsidRPr="006C73CE">
              <w:t> 000 000 Kč</w:t>
            </w:r>
          </w:p>
        </w:tc>
        <w:tc>
          <w:tcPr>
            <w:tcW w:w="1379" w:type="pct"/>
            <w:vAlign w:val="center"/>
          </w:tcPr>
          <w:p w14:paraId="34B7B14A" w14:textId="4D1B784B" w:rsidR="001C14B9" w:rsidRPr="00FC08D2" w:rsidRDefault="0086255A" w:rsidP="0077758E">
            <w:pPr>
              <w:spacing w:after="0" w:line="240" w:lineRule="auto"/>
              <w:jc w:val="center"/>
            </w:pPr>
            <w:r>
              <w:t>20</w:t>
            </w:r>
            <w:r w:rsidR="00584670">
              <w:t> 000 Kč</w:t>
            </w:r>
          </w:p>
        </w:tc>
        <w:tc>
          <w:tcPr>
            <w:tcW w:w="1833" w:type="pct"/>
            <w:vAlign w:val="center"/>
          </w:tcPr>
          <w:p w14:paraId="06192D2B" w14:textId="2CAA57FA" w:rsidR="001C14B9" w:rsidRPr="00FC08D2" w:rsidRDefault="00DB143A" w:rsidP="0077758E">
            <w:pPr>
              <w:spacing w:after="0" w:line="240" w:lineRule="auto"/>
              <w:jc w:val="center"/>
            </w:pPr>
            <w:r>
              <w:t>Nová cena</w:t>
            </w:r>
          </w:p>
        </w:tc>
      </w:tr>
    </w:tbl>
    <w:p w14:paraId="39752E4B" w14:textId="1A9B03CD" w:rsidR="007718FB" w:rsidRDefault="007718FB" w:rsidP="0077758E">
      <w:pPr>
        <w:pStyle w:val="Bezmezer"/>
        <w:jc w:val="both"/>
        <w:rPr>
          <w:b/>
          <w:u w:val="single"/>
        </w:rPr>
      </w:pPr>
    </w:p>
    <w:p w14:paraId="47ED8E43" w14:textId="77777777" w:rsidR="00FE1290" w:rsidRDefault="00FE1290" w:rsidP="0077758E">
      <w:pPr>
        <w:pStyle w:val="Bezmezer"/>
        <w:jc w:val="both"/>
        <w:rPr>
          <w:b/>
          <w:u w:val="single"/>
        </w:rPr>
      </w:pPr>
    </w:p>
    <w:p w14:paraId="5F7DBB67" w14:textId="35B4BE8F" w:rsidR="001C14B9" w:rsidRDefault="005E2FE4" w:rsidP="001C14B9">
      <w:pPr>
        <w:pStyle w:val="Bezmezer"/>
        <w:jc w:val="both"/>
      </w:pPr>
      <w:r>
        <w:rPr>
          <w:b/>
          <w:u w:val="single"/>
        </w:rPr>
        <w:t>4</w:t>
      </w:r>
      <w:r w:rsidR="001C14B9" w:rsidRPr="00FC08D2">
        <w:rPr>
          <w:b/>
          <w:u w:val="single"/>
        </w:rPr>
        <w:t>. Soubor vlastních a cizích peněz a cenností</w:t>
      </w:r>
      <w:r w:rsidR="001C14B9" w:rsidRPr="00FC08D2">
        <w:t xml:space="preserve"> – platné tuzemské i cizozemské státovky, bankovky a mince, cenné papíry a </w:t>
      </w:r>
      <w:r w:rsidR="001C14B9" w:rsidRPr="002876EE">
        <w:t>ceniny,</w:t>
      </w:r>
      <w:r w:rsidR="00B83275" w:rsidRPr="002876EE">
        <w:t xml:space="preserve"> klenoty, výrobky z drahých kovů, drahých kamenů a perel,</w:t>
      </w:r>
      <w:r w:rsidR="001C14B9" w:rsidRPr="00FC08D2">
        <w:t xml:space="preserve"> vkladní a šekové knížky, platební </w:t>
      </w:r>
      <w:r w:rsidR="00D40F82">
        <w:t xml:space="preserve">a kreditní </w:t>
      </w:r>
      <w:r w:rsidR="001C14B9" w:rsidRPr="00FC08D2">
        <w:t>karty a jiné obdobné dokumenty</w:t>
      </w:r>
      <w:r w:rsidR="0075545D">
        <w:t>, poštovní známky, kolky, telefonní karty, dálniční známky, stravenky, jízdenky a kupóny MHD</w:t>
      </w:r>
      <w:r w:rsidR="001C14B9" w:rsidRPr="00FC08D2">
        <w:t xml:space="preserve"> apod.</w:t>
      </w:r>
    </w:p>
    <w:p w14:paraId="758B352F" w14:textId="77777777" w:rsidR="0075545D" w:rsidRPr="00FC08D2" w:rsidRDefault="0075545D" w:rsidP="001C14B9">
      <w:pPr>
        <w:pStyle w:val="Bezmezer"/>
        <w:jc w:val="both"/>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2556"/>
        <w:gridCol w:w="3139"/>
      </w:tblGrid>
      <w:tr w:rsidR="001C14B9" w:rsidRPr="00FC08D2" w14:paraId="52669637" w14:textId="77777777" w:rsidTr="001B3C6F">
        <w:trPr>
          <w:trHeight w:val="340"/>
        </w:trPr>
        <w:tc>
          <w:tcPr>
            <w:tcW w:w="1840" w:type="pct"/>
            <w:shd w:val="clear" w:color="auto" w:fill="BDD6EE" w:themeFill="accent5" w:themeFillTint="66"/>
            <w:vAlign w:val="center"/>
          </w:tcPr>
          <w:p w14:paraId="788432F3" w14:textId="77777777" w:rsidR="001C14B9" w:rsidRPr="00FC08D2" w:rsidRDefault="001C14B9" w:rsidP="00984E36">
            <w:pPr>
              <w:spacing w:after="0" w:line="240" w:lineRule="auto"/>
              <w:jc w:val="center"/>
              <w:rPr>
                <w:b/>
              </w:rPr>
            </w:pPr>
            <w:r w:rsidRPr="00FC08D2">
              <w:rPr>
                <w:b/>
              </w:rPr>
              <w:t>Pojistná částka/limit plnění</w:t>
            </w:r>
          </w:p>
        </w:tc>
        <w:tc>
          <w:tcPr>
            <w:tcW w:w="1418" w:type="pct"/>
            <w:shd w:val="clear" w:color="auto" w:fill="BDD6EE" w:themeFill="accent5" w:themeFillTint="66"/>
            <w:vAlign w:val="center"/>
          </w:tcPr>
          <w:p w14:paraId="02A37D42" w14:textId="77777777" w:rsidR="001C14B9" w:rsidRPr="00FC08D2" w:rsidRDefault="001C14B9" w:rsidP="00984E36">
            <w:pPr>
              <w:spacing w:after="0" w:line="240" w:lineRule="auto"/>
              <w:jc w:val="center"/>
              <w:rPr>
                <w:b/>
              </w:rPr>
            </w:pPr>
            <w:r w:rsidRPr="00FC08D2">
              <w:rPr>
                <w:b/>
              </w:rPr>
              <w:t>Spoluúčast</w:t>
            </w:r>
          </w:p>
        </w:tc>
        <w:tc>
          <w:tcPr>
            <w:tcW w:w="1742" w:type="pct"/>
            <w:shd w:val="clear" w:color="auto" w:fill="BDD6EE" w:themeFill="accent5" w:themeFillTint="66"/>
            <w:vAlign w:val="center"/>
          </w:tcPr>
          <w:p w14:paraId="5508EC85" w14:textId="77777777" w:rsidR="001C14B9" w:rsidRPr="00FC08D2" w:rsidRDefault="001C14B9" w:rsidP="00984E36">
            <w:pPr>
              <w:spacing w:after="0" w:line="240" w:lineRule="auto"/>
              <w:jc w:val="center"/>
              <w:rPr>
                <w:b/>
              </w:rPr>
            </w:pPr>
            <w:r w:rsidRPr="00FC08D2">
              <w:rPr>
                <w:b/>
              </w:rPr>
              <w:t>Pojistná hodnota</w:t>
            </w:r>
          </w:p>
        </w:tc>
      </w:tr>
      <w:tr w:rsidR="001C14B9" w:rsidRPr="00FC08D2" w14:paraId="30213988" w14:textId="77777777" w:rsidTr="001C14B9">
        <w:trPr>
          <w:trHeight w:val="268"/>
        </w:trPr>
        <w:tc>
          <w:tcPr>
            <w:tcW w:w="1840" w:type="pct"/>
            <w:vAlign w:val="center"/>
          </w:tcPr>
          <w:p w14:paraId="449D9C0A" w14:textId="5273C09A" w:rsidR="001C14B9" w:rsidRPr="00FC08D2" w:rsidRDefault="004658C8" w:rsidP="00984E36">
            <w:pPr>
              <w:spacing w:after="0" w:line="240" w:lineRule="auto"/>
              <w:jc w:val="center"/>
            </w:pPr>
            <w:r>
              <w:t>2</w:t>
            </w:r>
            <w:r w:rsidR="001C14B9" w:rsidRPr="00FC08D2">
              <w:t xml:space="preserve">00 000 </w:t>
            </w:r>
            <w:r w:rsidR="001C14B9">
              <w:t>Kč</w:t>
            </w:r>
          </w:p>
        </w:tc>
        <w:tc>
          <w:tcPr>
            <w:tcW w:w="1418" w:type="pct"/>
            <w:vAlign w:val="center"/>
          </w:tcPr>
          <w:p w14:paraId="6D780039" w14:textId="0ACD18C5" w:rsidR="001C14B9" w:rsidRPr="00FC08D2" w:rsidRDefault="006F5506" w:rsidP="00984E36">
            <w:pPr>
              <w:spacing w:after="0" w:line="240" w:lineRule="auto"/>
              <w:jc w:val="center"/>
            </w:pPr>
            <w:r>
              <w:t>20</w:t>
            </w:r>
            <w:r w:rsidR="00584670">
              <w:t> 000 Kč</w:t>
            </w:r>
          </w:p>
        </w:tc>
        <w:tc>
          <w:tcPr>
            <w:tcW w:w="1742" w:type="pct"/>
            <w:vAlign w:val="center"/>
          </w:tcPr>
          <w:p w14:paraId="2FAD8DAF" w14:textId="041AD86B" w:rsidR="001C14B9" w:rsidRPr="00FC08D2" w:rsidRDefault="001C14B9" w:rsidP="00984E36">
            <w:pPr>
              <w:spacing w:after="0" w:line="240" w:lineRule="auto"/>
              <w:jc w:val="center"/>
            </w:pPr>
            <w:r w:rsidRPr="00FC08D2">
              <w:t>První riziko</w:t>
            </w:r>
            <w:r w:rsidR="0008234F">
              <w:t xml:space="preserve"> na novou cenu</w:t>
            </w:r>
          </w:p>
        </w:tc>
      </w:tr>
    </w:tbl>
    <w:p w14:paraId="10BECA09" w14:textId="7F77826B" w:rsidR="007718FB" w:rsidRDefault="007718FB" w:rsidP="0077758E">
      <w:pPr>
        <w:pStyle w:val="Bezmezer"/>
        <w:jc w:val="both"/>
        <w:rPr>
          <w:b/>
          <w:u w:val="single"/>
        </w:rPr>
      </w:pPr>
    </w:p>
    <w:p w14:paraId="26D33A29" w14:textId="77777777" w:rsidR="00FE1290" w:rsidRPr="00FC08D2" w:rsidRDefault="00FE1290" w:rsidP="0077758E">
      <w:pPr>
        <w:pStyle w:val="Bezmezer"/>
        <w:jc w:val="both"/>
        <w:rPr>
          <w:b/>
          <w:u w:val="single"/>
        </w:rPr>
      </w:pPr>
    </w:p>
    <w:p w14:paraId="025962B0" w14:textId="55D1CA71" w:rsidR="00B7658E" w:rsidRPr="00FC08D2" w:rsidRDefault="00FE1290" w:rsidP="0077758E">
      <w:pPr>
        <w:spacing w:after="0" w:line="240" w:lineRule="auto"/>
        <w:jc w:val="both"/>
        <w:rPr>
          <w:color w:val="FF0000"/>
        </w:rPr>
      </w:pPr>
      <w:r>
        <w:rPr>
          <w:b/>
          <w:u w:val="single"/>
        </w:rPr>
        <w:t>5</w:t>
      </w:r>
      <w:r w:rsidR="007718FB" w:rsidRPr="00FC08D2">
        <w:rPr>
          <w:b/>
          <w:u w:val="single"/>
        </w:rPr>
        <w:t xml:space="preserve">. </w:t>
      </w:r>
      <w:r w:rsidR="007718FB" w:rsidRPr="00FC08D2">
        <w:rPr>
          <w:b/>
          <w:bCs/>
          <w:u w:val="single"/>
        </w:rPr>
        <w:t xml:space="preserve">Soubor </w:t>
      </w:r>
      <w:r w:rsidR="008C1BA1" w:rsidRPr="00FC08D2">
        <w:rPr>
          <w:b/>
          <w:bCs/>
          <w:u w:val="single"/>
        </w:rPr>
        <w:t>dlouhodobého nehmotného</w:t>
      </w:r>
      <w:r w:rsidR="007718FB" w:rsidRPr="00FC08D2">
        <w:rPr>
          <w:b/>
          <w:bCs/>
          <w:u w:val="single"/>
        </w:rPr>
        <w:t xml:space="preserve"> majetku</w:t>
      </w:r>
      <w:r w:rsidR="0041613E">
        <w:rPr>
          <w:bCs/>
        </w:rPr>
        <w:t xml:space="preserve"> (písemnosti, plány, obchodní</w:t>
      </w:r>
      <w:r w:rsidR="007718FB" w:rsidRPr="00FC08D2">
        <w:rPr>
          <w:bCs/>
        </w:rPr>
        <w:t xml:space="preserve"> knih</w:t>
      </w:r>
      <w:r w:rsidR="0041613E">
        <w:rPr>
          <w:bCs/>
        </w:rPr>
        <w:t>y</w:t>
      </w:r>
      <w:r w:rsidR="007718FB" w:rsidRPr="00FC08D2">
        <w:rPr>
          <w:bCs/>
        </w:rPr>
        <w:t>, kartoték</w:t>
      </w:r>
      <w:r w:rsidR="0041613E">
        <w:rPr>
          <w:bCs/>
        </w:rPr>
        <w:t>y, výkresy</w:t>
      </w:r>
      <w:r w:rsidR="007718FB" w:rsidRPr="00FC08D2">
        <w:rPr>
          <w:bCs/>
        </w:rPr>
        <w:t xml:space="preserve">, </w:t>
      </w:r>
      <w:r w:rsidR="0041613E">
        <w:rPr>
          <w:bCs/>
        </w:rPr>
        <w:t>projekty</w:t>
      </w:r>
      <w:r w:rsidR="000957C5" w:rsidRPr="00FC08D2">
        <w:rPr>
          <w:bCs/>
        </w:rPr>
        <w:t xml:space="preserve">, </w:t>
      </w:r>
      <w:r w:rsidR="007718FB" w:rsidRPr="00FC08D2">
        <w:rPr>
          <w:bCs/>
        </w:rPr>
        <w:t>magn</w:t>
      </w:r>
      <w:r w:rsidR="0041613E">
        <w:rPr>
          <w:bCs/>
        </w:rPr>
        <w:t>etické pásky a disky</w:t>
      </w:r>
      <w:r w:rsidR="00972B45" w:rsidRPr="00FC08D2">
        <w:rPr>
          <w:bCs/>
        </w:rPr>
        <w:t xml:space="preserve">, jakékoliv nosiče dat a záznamy na nich, </w:t>
      </w:r>
      <w:r w:rsidR="00C303C0">
        <w:rPr>
          <w:bCs/>
        </w:rPr>
        <w:t>software)</w:t>
      </w:r>
    </w:p>
    <w:p w14:paraId="3A2B9BE1" w14:textId="77777777" w:rsidR="007718FB" w:rsidRPr="00FC08D2" w:rsidRDefault="007718FB" w:rsidP="0077758E">
      <w:pPr>
        <w:spacing w:after="0" w:line="240" w:lineRule="auto"/>
        <w:jc w:val="both"/>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2553"/>
        <w:gridCol w:w="3135"/>
      </w:tblGrid>
      <w:tr w:rsidR="0041613E" w:rsidRPr="00FC08D2" w14:paraId="326EA854" w14:textId="77777777" w:rsidTr="0029686F">
        <w:trPr>
          <w:trHeight w:val="304"/>
        </w:trPr>
        <w:tc>
          <w:tcPr>
            <w:tcW w:w="1839" w:type="pct"/>
            <w:shd w:val="clear" w:color="auto" w:fill="BDD6EE" w:themeFill="accent5" w:themeFillTint="66"/>
          </w:tcPr>
          <w:p w14:paraId="3607EB72" w14:textId="77777777" w:rsidR="0041613E" w:rsidRPr="00FC08D2" w:rsidRDefault="0041613E" w:rsidP="0077758E">
            <w:pPr>
              <w:spacing w:after="0" w:line="240" w:lineRule="auto"/>
              <w:jc w:val="center"/>
              <w:rPr>
                <w:b/>
              </w:rPr>
            </w:pPr>
            <w:r w:rsidRPr="00FC08D2">
              <w:rPr>
                <w:b/>
              </w:rPr>
              <w:t>Pojistná částka/limit plnění</w:t>
            </w:r>
          </w:p>
        </w:tc>
        <w:tc>
          <w:tcPr>
            <w:tcW w:w="1418" w:type="pct"/>
            <w:shd w:val="clear" w:color="auto" w:fill="BDD6EE" w:themeFill="accent5" w:themeFillTint="66"/>
          </w:tcPr>
          <w:p w14:paraId="68E043B0" w14:textId="77777777" w:rsidR="0041613E" w:rsidRPr="00FC08D2" w:rsidRDefault="0041613E" w:rsidP="0077758E">
            <w:pPr>
              <w:spacing w:after="0" w:line="240" w:lineRule="auto"/>
              <w:jc w:val="center"/>
              <w:rPr>
                <w:b/>
              </w:rPr>
            </w:pPr>
            <w:r w:rsidRPr="00FC08D2">
              <w:rPr>
                <w:b/>
              </w:rPr>
              <w:t>Spoluúčast</w:t>
            </w:r>
          </w:p>
        </w:tc>
        <w:tc>
          <w:tcPr>
            <w:tcW w:w="1742" w:type="pct"/>
            <w:shd w:val="clear" w:color="auto" w:fill="BDD6EE" w:themeFill="accent5" w:themeFillTint="66"/>
          </w:tcPr>
          <w:p w14:paraId="7E919784" w14:textId="77777777" w:rsidR="0041613E" w:rsidRPr="00FC08D2" w:rsidRDefault="0041613E" w:rsidP="0077758E">
            <w:pPr>
              <w:spacing w:after="0" w:line="240" w:lineRule="auto"/>
              <w:jc w:val="center"/>
              <w:rPr>
                <w:b/>
              </w:rPr>
            </w:pPr>
            <w:r w:rsidRPr="00FC08D2">
              <w:rPr>
                <w:b/>
              </w:rPr>
              <w:t>Pojistná hodnota</w:t>
            </w:r>
          </w:p>
        </w:tc>
      </w:tr>
      <w:tr w:rsidR="0041613E" w:rsidRPr="00FC08D2" w14:paraId="52A6A6D0" w14:textId="77777777" w:rsidTr="0041613E">
        <w:trPr>
          <w:trHeight w:val="178"/>
        </w:trPr>
        <w:tc>
          <w:tcPr>
            <w:tcW w:w="1839" w:type="pct"/>
            <w:vAlign w:val="center"/>
          </w:tcPr>
          <w:p w14:paraId="5A3C5E47" w14:textId="4FA1D006" w:rsidR="0041613E" w:rsidRPr="002A6FC1" w:rsidRDefault="00AC01C8" w:rsidP="0077758E">
            <w:pPr>
              <w:spacing w:after="0" w:line="240" w:lineRule="auto"/>
              <w:jc w:val="center"/>
            </w:pPr>
            <w:r>
              <w:t>5</w:t>
            </w:r>
            <w:r w:rsidR="002A6FC1" w:rsidRPr="00B51BB0">
              <w:t xml:space="preserve"> 0</w:t>
            </w:r>
            <w:r w:rsidR="0041613E" w:rsidRPr="00B51BB0">
              <w:t>00 000 Kč</w:t>
            </w:r>
          </w:p>
        </w:tc>
        <w:tc>
          <w:tcPr>
            <w:tcW w:w="1418" w:type="pct"/>
            <w:vAlign w:val="center"/>
          </w:tcPr>
          <w:p w14:paraId="58F9B9BC" w14:textId="70147CDC" w:rsidR="0041613E" w:rsidRPr="00FC08D2" w:rsidRDefault="00AC01C8" w:rsidP="0077758E">
            <w:pPr>
              <w:spacing w:after="0" w:line="240" w:lineRule="auto"/>
              <w:jc w:val="center"/>
            </w:pPr>
            <w:r>
              <w:t>20</w:t>
            </w:r>
            <w:r w:rsidR="00584670">
              <w:t> 000 Kč</w:t>
            </w:r>
          </w:p>
        </w:tc>
        <w:tc>
          <w:tcPr>
            <w:tcW w:w="1742" w:type="pct"/>
            <w:vAlign w:val="center"/>
          </w:tcPr>
          <w:p w14:paraId="7F57495E" w14:textId="645089CE" w:rsidR="0041613E" w:rsidRPr="00FC08D2" w:rsidRDefault="0041613E" w:rsidP="0077758E">
            <w:pPr>
              <w:spacing w:after="0" w:line="240" w:lineRule="auto"/>
              <w:jc w:val="center"/>
            </w:pPr>
            <w:r w:rsidRPr="00FC08D2">
              <w:t>První riziko</w:t>
            </w:r>
            <w:r w:rsidR="00E01F47">
              <w:t xml:space="preserve"> na novou cenu</w:t>
            </w:r>
          </w:p>
        </w:tc>
      </w:tr>
    </w:tbl>
    <w:p w14:paraId="5E5A6994" w14:textId="106AF0F8" w:rsidR="007718FB" w:rsidRDefault="007718FB" w:rsidP="0077758E">
      <w:pPr>
        <w:pStyle w:val="Bezmezer"/>
        <w:jc w:val="both"/>
        <w:rPr>
          <w:b/>
          <w:u w:val="single"/>
        </w:rPr>
      </w:pPr>
    </w:p>
    <w:p w14:paraId="71AB04CD" w14:textId="77777777" w:rsidR="00FE1290" w:rsidRPr="00FC08D2" w:rsidRDefault="00FE1290" w:rsidP="0077758E">
      <w:pPr>
        <w:pStyle w:val="Bezmezer"/>
        <w:jc w:val="both"/>
        <w:rPr>
          <w:b/>
          <w:u w:val="single"/>
        </w:rPr>
      </w:pPr>
    </w:p>
    <w:p w14:paraId="4D9141CF" w14:textId="5E083647" w:rsidR="007718FB" w:rsidRPr="00FC08D2" w:rsidRDefault="00FE1290" w:rsidP="0077758E">
      <w:pPr>
        <w:spacing w:after="0" w:line="240" w:lineRule="auto"/>
        <w:jc w:val="both"/>
      </w:pPr>
      <w:r>
        <w:rPr>
          <w:b/>
          <w:u w:val="single"/>
        </w:rPr>
        <w:t>6</w:t>
      </w:r>
      <w:r w:rsidR="007718FB" w:rsidRPr="00FC08D2">
        <w:rPr>
          <w:b/>
          <w:u w:val="single"/>
        </w:rPr>
        <w:t>. Soubor věcí zaměstnanců</w:t>
      </w:r>
      <w:r w:rsidR="0046738B" w:rsidRPr="0046738B">
        <w:rPr>
          <w:b/>
          <w:u w:val="single"/>
        </w:rPr>
        <w:t xml:space="preserve"> (</w:t>
      </w:r>
      <w:r w:rsidR="007718FB" w:rsidRPr="0046738B">
        <w:rPr>
          <w:b/>
          <w:u w:val="single"/>
        </w:rPr>
        <w:t>které se obvykle nosí do práce</w:t>
      </w:r>
      <w:r w:rsidR="0046738B" w:rsidRPr="0046738B">
        <w:rPr>
          <w:b/>
          <w:u w:val="single"/>
        </w:rPr>
        <w:t>)</w:t>
      </w:r>
      <w:r w:rsidR="007718FB" w:rsidRPr="0046738B">
        <w:rPr>
          <w:b/>
          <w:u w:val="single"/>
        </w:rPr>
        <w:t xml:space="preserve"> a věcí vnesených a odložených </w:t>
      </w:r>
    </w:p>
    <w:p w14:paraId="58968361" w14:textId="77777777" w:rsidR="007718FB" w:rsidRPr="00FC08D2" w:rsidRDefault="007718FB" w:rsidP="0077758E">
      <w:pPr>
        <w:spacing w:after="0" w:line="240" w:lineRule="auto"/>
        <w:jc w:val="both"/>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2550"/>
        <w:gridCol w:w="3131"/>
      </w:tblGrid>
      <w:tr w:rsidR="008B5372" w:rsidRPr="00FC08D2" w14:paraId="7EEA0B2B" w14:textId="77777777" w:rsidTr="0029686F">
        <w:trPr>
          <w:trHeight w:val="379"/>
        </w:trPr>
        <w:tc>
          <w:tcPr>
            <w:tcW w:w="1839" w:type="pct"/>
            <w:shd w:val="clear" w:color="auto" w:fill="BDD6EE" w:themeFill="accent5" w:themeFillTint="66"/>
            <w:vAlign w:val="center"/>
          </w:tcPr>
          <w:p w14:paraId="213B10A2" w14:textId="77777777" w:rsidR="008B5372" w:rsidRPr="00FC08D2" w:rsidRDefault="008B5372" w:rsidP="001B3C6F">
            <w:pPr>
              <w:spacing w:after="0" w:line="240" w:lineRule="auto"/>
              <w:jc w:val="center"/>
              <w:rPr>
                <w:b/>
              </w:rPr>
            </w:pPr>
            <w:r w:rsidRPr="00FC08D2">
              <w:rPr>
                <w:b/>
              </w:rPr>
              <w:t>Pojistná částka/limit plnění</w:t>
            </w:r>
          </w:p>
        </w:tc>
        <w:tc>
          <w:tcPr>
            <w:tcW w:w="1418" w:type="pct"/>
            <w:shd w:val="clear" w:color="auto" w:fill="BDD6EE" w:themeFill="accent5" w:themeFillTint="66"/>
            <w:vAlign w:val="center"/>
          </w:tcPr>
          <w:p w14:paraId="71F9DC02" w14:textId="77777777" w:rsidR="008B5372" w:rsidRPr="00FC08D2" w:rsidRDefault="008B5372" w:rsidP="001B3C6F">
            <w:pPr>
              <w:spacing w:after="0" w:line="240" w:lineRule="auto"/>
              <w:jc w:val="center"/>
              <w:rPr>
                <w:b/>
              </w:rPr>
            </w:pPr>
            <w:r w:rsidRPr="00FC08D2">
              <w:rPr>
                <w:b/>
              </w:rPr>
              <w:t>Spoluúčast</w:t>
            </w:r>
          </w:p>
        </w:tc>
        <w:tc>
          <w:tcPr>
            <w:tcW w:w="1742" w:type="pct"/>
            <w:shd w:val="clear" w:color="auto" w:fill="BDD6EE" w:themeFill="accent5" w:themeFillTint="66"/>
            <w:vAlign w:val="center"/>
          </w:tcPr>
          <w:p w14:paraId="197A2BAB" w14:textId="77777777" w:rsidR="008B5372" w:rsidRPr="00FC08D2" w:rsidRDefault="008B5372" w:rsidP="001B3C6F">
            <w:pPr>
              <w:spacing w:after="0" w:line="240" w:lineRule="auto"/>
              <w:jc w:val="center"/>
              <w:rPr>
                <w:b/>
              </w:rPr>
            </w:pPr>
            <w:r w:rsidRPr="00FC08D2">
              <w:rPr>
                <w:b/>
              </w:rPr>
              <w:t>Pojistná hodnota</w:t>
            </w:r>
          </w:p>
        </w:tc>
      </w:tr>
      <w:tr w:rsidR="008B5372" w:rsidRPr="00FC08D2" w14:paraId="3032915E" w14:textId="77777777" w:rsidTr="00E255D3">
        <w:trPr>
          <w:trHeight w:val="221"/>
        </w:trPr>
        <w:tc>
          <w:tcPr>
            <w:tcW w:w="1839" w:type="pct"/>
            <w:vAlign w:val="center"/>
          </w:tcPr>
          <w:p w14:paraId="73BB7ED5" w14:textId="2E4D2787" w:rsidR="008B5372" w:rsidRPr="00FC08D2" w:rsidRDefault="009C7F25" w:rsidP="0077758E">
            <w:pPr>
              <w:spacing w:after="0" w:line="240" w:lineRule="auto"/>
              <w:jc w:val="center"/>
            </w:pPr>
            <w:r>
              <w:t>5</w:t>
            </w:r>
            <w:r w:rsidR="00612457">
              <w:t>0</w:t>
            </w:r>
            <w:r w:rsidR="008B5372" w:rsidRPr="00FC08D2">
              <w:t>0 000 Kč</w:t>
            </w:r>
          </w:p>
        </w:tc>
        <w:tc>
          <w:tcPr>
            <w:tcW w:w="1418" w:type="pct"/>
            <w:vAlign w:val="center"/>
          </w:tcPr>
          <w:p w14:paraId="7AFDA849" w14:textId="09356EF9" w:rsidR="008B5372" w:rsidRPr="00FC08D2" w:rsidRDefault="005E2FE4" w:rsidP="0077758E">
            <w:pPr>
              <w:spacing w:after="0" w:line="240" w:lineRule="auto"/>
              <w:jc w:val="center"/>
            </w:pPr>
            <w:r>
              <w:t>5</w:t>
            </w:r>
            <w:r w:rsidR="008B5372" w:rsidRPr="00FC08D2">
              <w:t xml:space="preserve"> 000 Kč</w:t>
            </w:r>
          </w:p>
        </w:tc>
        <w:tc>
          <w:tcPr>
            <w:tcW w:w="1742" w:type="pct"/>
            <w:vAlign w:val="center"/>
          </w:tcPr>
          <w:p w14:paraId="702E02E9" w14:textId="470AC836" w:rsidR="008B5372" w:rsidRPr="00FC08D2" w:rsidRDefault="008B5372" w:rsidP="005D2BF9">
            <w:pPr>
              <w:spacing w:after="0" w:line="240" w:lineRule="auto"/>
              <w:jc w:val="center"/>
            </w:pPr>
            <w:r w:rsidRPr="00FC08D2">
              <w:t>První riziko</w:t>
            </w:r>
            <w:r w:rsidR="00E01F47">
              <w:t xml:space="preserve"> na novou cenu</w:t>
            </w:r>
          </w:p>
        </w:tc>
      </w:tr>
    </w:tbl>
    <w:p w14:paraId="10F368E4" w14:textId="7C1731F5" w:rsidR="001B3C6F" w:rsidRDefault="001B3C6F" w:rsidP="0077758E">
      <w:pPr>
        <w:pStyle w:val="Bezmezer"/>
        <w:jc w:val="both"/>
        <w:rPr>
          <w:b/>
          <w:highlight w:val="lightGray"/>
        </w:rPr>
      </w:pPr>
    </w:p>
    <w:p w14:paraId="683723D7" w14:textId="77777777" w:rsidR="00FE1290" w:rsidRPr="00FC08D2" w:rsidRDefault="00FE1290" w:rsidP="0077758E">
      <w:pPr>
        <w:pStyle w:val="Bezmezer"/>
        <w:jc w:val="both"/>
        <w:rPr>
          <w:b/>
          <w:highlight w:val="lightGray"/>
        </w:rPr>
      </w:pPr>
    </w:p>
    <w:p w14:paraId="4CB2848D" w14:textId="77777777" w:rsidR="00EF365A" w:rsidRPr="00FC08D2" w:rsidRDefault="00EF365A" w:rsidP="00275895">
      <w:pPr>
        <w:shd w:val="clear" w:color="auto" w:fill="FFFFFF" w:themeFill="background1"/>
        <w:tabs>
          <w:tab w:val="right" w:pos="9072"/>
        </w:tabs>
        <w:spacing w:after="0" w:line="240" w:lineRule="auto"/>
        <w:jc w:val="both"/>
      </w:pPr>
      <w:r w:rsidRPr="00275895">
        <w:rPr>
          <w:b/>
        </w:rPr>
        <w:t>1.2. Záplava, povodeň</w:t>
      </w:r>
      <w:r w:rsidRPr="00D33CE1">
        <w:tab/>
      </w:r>
    </w:p>
    <w:p w14:paraId="7793F102" w14:textId="77777777" w:rsidR="00EF365A" w:rsidRPr="00FC08D2" w:rsidRDefault="00EF365A" w:rsidP="00275895">
      <w:pPr>
        <w:shd w:val="clear" w:color="auto" w:fill="FFFFFF" w:themeFill="background1"/>
        <w:spacing w:after="0" w:line="240" w:lineRule="auto"/>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3944"/>
      </w:tblGrid>
      <w:tr w:rsidR="00EF365A" w:rsidRPr="00FC08D2" w14:paraId="5B9FD5D1" w14:textId="77777777" w:rsidTr="0029686F">
        <w:trPr>
          <w:trHeight w:val="452"/>
        </w:trPr>
        <w:tc>
          <w:tcPr>
            <w:tcW w:w="2824" w:type="pct"/>
            <w:shd w:val="clear" w:color="auto" w:fill="BDD6EE" w:themeFill="accent5" w:themeFillTint="66"/>
            <w:vAlign w:val="center"/>
          </w:tcPr>
          <w:p w14:paraId="0191C720" w14:textId="77777777" w:rsidR="00EF365A" w:rsidRPr="00FC08D2" w:rsidRDefault="00EF365A" w:rsidP="0077758E">
            <w:pPr>
              <w:spacing w:after="0" w:line="240" w:lineRule="auto"/>
              <w:jc w:val="center"/>
              <w:rPr>
                <w:b/>
              </w:rPr>
            </w:pPr>
            <w:r w:rsidRPr="00FC08D2">
              <w:rPr>
                <w:b/>
              </w:rPr>
              <w:t>Pojistná částka/limit plnění</w:t>
            </w:r>
          </w:p>
          <w:p w14:paraId="5090D198" w14:textId="6341BC1F" w:rsidR="00EF365A" w:rsidRPr="00FC08D2" w:rsidRDefault="00EF365A" w:rsidP="0077758E">
            <w:pPr>
              <w:spacing w:after="0" w:line="240" w:lineRule="auto"/>
              <w:jc w:val="center"/>
              <w:rPr>
                <w:b/>
              </w:rPr>
            </w:pPr>
            <w:r w:rsidRPr="00FC08D2">
              <w:rPr>
                <w:b/>
              </w:rPr>
              <w:t xml:space="preserve">za soubory </w:t>
            </w:r>
            <w:proofErr w:type="gramStart"/>
            <w:r w:rsidR="00557242" w:rsidRPr="00F6365B">
              <w:rPr>
                <w:b/>
              </w:rPr>
              <w:t xml:space="preserve">1 - </w:t>
            </w:r>
            <w:r w:rsidR="00F62C3E">
              <w:rPr>
                <w:b/>
              </w:rPr>
              <w:t>6</w:t>
            </w:r>
            <w:proofErr w:type="gramEnd"/>
            <w:r w:rsidRPr="00FC08D2">
              <w:rPr>
                <w:b/>
              </w:rPr>
              <w:t xml:space="preserve"> specifikované pro pojistné nebezpečí </w:t>
            </w:r>
            <w:proofErr w:type="spellStart"/>
            <w:r w:rsidRPr="00FC08D2">
              <w:rPr>
                <w:b/>
              </w:rPr>
              <w:t>flexa</w:t>
            </w:r>
            <w:proofErr w:type="spellEnd"/>
          </w:p>
        </w:tc>
        <w:tc>
          <w:tcPr>
            <w:tcW w:w="2176" w:type="pct"/>
            <w:shd w:val="clear" w:color="auto" w:fill="BDD6EE" w:themeFill="accent5" w:themeFillTint="66"/>
            <w:vAlign w:val="center"/>
          </w:tcPr>
          <w:p w14:paraId="5EC58C2F" w14:textId="77777777" w:rsidR="00EF365A" w:rsidRPr="00FC08D2" w:rsidRDefault="00EF365A" w:rsidP="0077758E">
            <w:pPr>
              <w:spacing w:after="0" w:line="240" w:lineRule="auto"/>
              <w:jc w:val="center"/>
              <w:rPr>
                <w:b/>
              </w:rPr>
            </w:pPr>
            <w:r w:rsidRPr="00FC08D2">
              <w:rPr>
                <w:b/>
              </w:rPr>
              <w:t>Spoluúčast</w:t>
            </w:r>
          </w:p>
        </w:tc>
      </w:tr>
      <w:tr w:rsidR="00EF365A" w:rsidRPr="00FC08D2" w14:paraId="000C38BF" w14:textId="77777777" w:rsidTr="008D3CF6">
        <w:trPr>
          <w:trHeight w:val="264"/>
        </w:trPr>
        <w:tc>
          <w:tcPr>
            <w:tcW w:w="2824" w:type="pct"/>
            <w:vAlign w:val="center"/>
          </w:tcPr>
          <w:p w14:paraId="1DDA9E9A" w14:textId="253EA22C" w:rsidR="00EF365A" w:rsidRPr="00FC08D2" w:rsidRDefault="007F4729" w:rsidP="0077758E">
            <w:pPr>
              <w:spacing w:after="0" w:line="240" w:lineRule="auto"/>
              <w:jc w:val="center"/>
            </w:pPr>
            <w:r>
              <w:t>5</w:t>
            </w:r>
            <w:r w:rsidR="00394EA8">
              <w:t>0</w:t>
            </w:r>
            <w:r w:rsidR="00EF365A" w:rsidRPr="00FC08D2">
              <w:t> 000 000 Kč</w:t>
            </w:r>
          </w:p>
        </w:tc>
        <w:tc>
          <w:tcPr>
            <w:tcW w:w="2176" w:type="pct"/>
            <w:vAlign w:val="center"/>
          </w:tcPr>
          <w:p w14:paraId="67032E18" w14:textId="2094057F" w:rsidR="00EF365A" w:rsidRPr="00FC08D2" w:rsidRDefault="00A25912" w:rsidP="0077758E">
            <w:pPr>
              <w:spacing w:after="0" w:line="240" w:lineRule="auto"/>
              <w:jc w:val="center"/>
            </w:pPr>
            <w:proofErr w:type="gramStart"/>
            <w:r>
              <w:t>5%</w:t>
            </w:r>
            <w:proofErr w:type="gramEnd"/>
            <w:r>
              <w:t xml:space="preserve"> min </w:t>
            </w:r>
            <w:r w:rsidR="00394EA8">
              <w:t>5</w:t>
            </w:r>
            <w:r w:rsidR="00FE1020">
              <w:t>0 000 Kč</w:t>
            </w:r>
          </w:p>
        </w:tc>
      </w:tr>
    </w:tbl>
    <w:p w14:paraId="6FE9ABAF" w14:textId="2666DCE1" w:rsidR="00A5664E" w:rsidRDefault="00A5664E" w:rsidP="0077758E">
      <w:pPr>
        <w:pStyle w:val="Bezmezer"/>
        <w:jc w:val="both"/>
        <w:rPr>
          <w:color w:val="FF0000"/>
          <w:highlight w:val="lightGray"/>
        </w:rPr>
      </w:pPr>
    </w:p>
    <w:p w14:paraId="0592B231" w14:textId="77777777" w:rsidR="00FE1290" w:rsidRPr="00FC08D2" w:rsidRDefault="00FE1290" w:rsidP="0077758E">
      <w:pPr>
        <w:pStyle w:val="Bezmezer"/>
        <w:jc w:val="both"/>
        <w:rPr>
          <w:color w:val="FF0000"/>
          <w:highlight w:val="lightGray"/>
        </w:rPr>
      </w:pPr>
    </w:p>
    <w:p w14:paraId="726C5088" w14:textId="77777777" w:rsidR="00EF365A" w:rsidRPr="00FC08D2" w:rsidRDefault="00EF365A" w:rsidP="0077758E">
      <w:pPr>
        <w:spacing w:after="0" w:line="240" w:lineRule="auto"/>
        <w:jc w:val="both"/>
      </w:pPr>
      <w:r w:rsidRPr="00D33CE1">
        <w:rPr>
          <w:b/>
        </w:rPr>
        <w:t xml:space="preserve">1.3. Ostatní </w:t>
      </w:r>
      <w:proofErr w:type="gramStart"/>
      <w:r w:rsidRPr="00D33CE1">
        <w:rPr>
          <w:b/>
        </w:rPr>
        <w:t>živel</w:t>
      </w:r>
      <w:r w:rsidRPr="00D33CE1">
        <w:t xml:space="preserve"> - vichřice</w:t>
      </w:r>
      <w:proofErr w:type="gramEnd"/>
      <w:r w:rsidRPr="00D33CE1">
        <w:t>, krupobití, tíha sněhu nebo námrazy, sesu</w:t>
      </w:r>
      <w:r w:rsidR="00D81869" w:rsidRPr="00D33CE1">
        <w:t>v půdy, zřícení skal nebo zemin</w:t>
      </w:r>
      <w:r w:rsidRPr="00D33CE1">
        <w:t>, sesuv nebo zřícení</w:t>
      </w:r>
      <w:r w:rsidR="00FE3E84" w:rsidRPr="00D33CE1">
        <w:t xml:space="preserve"> sněhových</w:t>
      </w:r>
      <w:r w:rsidRPr="00D33CE1">
        <w:t xml:space="preserve"> lavin, ze</w:t>
      </w:r>
      <w:r w:rsidR="00FE3E84" w:rsidRPr="00D33CE1">
        <w:t>mětřesení, pád stromů, stožárů nebo</w:t>
      </w:r>
      <w:r w:rsidRPr="00D33CE1">
        <w:t xml:space="preserve"> jiných předmětů, kouř, aerodynamický t</w:t>
      </w:r>
      <w:r w:rsidR="007A1309" w:rsidRPr="00D33CE1">
        <w:t>řesk, náraz dopravního prostředku</w:t>
      </w:r>
    </w:p>
    <w:p w14:paraId="405A77E7" w14:textId="77777777" w:rsidR="00EF365A" w:rsidRPr="00FC08D2" w:rsidRDefault="00EF365A" w:rsidP="0077758E">
      <w:pPr>
        <w:spacing w:after="0" w:line="240" w:lineRule="auto"/>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3944"/>
      </w:tblGrid>
      <w:tr w:rsidR="00EF365A" w:rsidRPr="00FC08D2" w14:paraId="5F73CE41" w14:textId="77777777" w:rsidTr="001B3C6F">
        <w:trPr>
          <w:trHeight w:val="528"/>
        </w:trPr>
        <w:tc>
          <w:tcPr>
            <w:tcW w:w="2824" w:type="pct"/>
            <w:shd w:val="clear" w:color="auto" w:fill="BDD6EE" w:themeFill="accent5" w:themeFillTint="66"/>
          </w:tcPr>
          <w:p w14:paraId="69B6B48E" w14:textId="77777777" w:rsidR="00EF365A" w:rsidRPr="00FC08D2" w:rsidRDefault="00EF365A" w:rsidP="0077758E">
            <w:pPr>
              <w:spacing w:after="0" w:line="240" w:lineRule="auto"/>
              <w:jc w:val="center"/>
              <w:rPr>
                <w:b/>
              </w:rPr>
            </w:pPr>
            <w:r w:rsidRPr="00FC08D2">
              <w:rPr>
                <w:b/>
              </w:rPr>
              <w:t>Pojistná částka/limit plnění</w:t>
            </w:r>
          </w:p>
          <w:p w14:paraId="21398B0C" w14:textId="49209765" w:rsidR="00EF365A" w:rsidRPr="00FC08D2" w:rsidRDefault="00F6365B" w:rsidP="0077758E">
            <w:pPr>
              <w:spacing w:after="0" w:line="240" w:lineRule="auto"/>
              <w:jc w:val="center"/>
              <w:rPr>
                <w:b/>
              </w:rPr>
            </w:pPr>
            <w:r>
              <w:rPr>
                <w:b/>
              </w:rPr>
              <w:lastRenderedPageBreak/>
              <w:t xml:space="preserve">za soubory </w:t>
            </w:r>
            <w:proofErr w:type="gramStart"/>
            <w:r>
              <w:rPr>
                <w:b/>
              </w:rPr>
              <w:t xml:space="preserve">1 - </w:t>
            </w:r>
            <w:r w:rsidR="00F62C3E">
              <w:rPr>
                <w:b/>
              </w:rPr>
              <w:t>6</w:t>
            </w:r>
            <w:proofErr w:type="gramEnd"/>
            <w:r w:rsidR="00EF365A" w:rsidRPr="00FC08D2">
              <w:rPr>
                <w:b/>
              </w:rPr>
              <w:t xml:space="preserve"> specifikované pro pojistné nebezpečí </w:t>
            </w:r>
            <w:proofErr w:type="spellStart"/>
            <w:r w:rsidR="00EF365A" w:rsidRPr="00FC08D2">
              <w:rPr>
                <w:b/>
              </w:rPr>
              <w:t>flexa</w:t>
            </w:r>
            <w:proofErr w:type="spellEnd"/>
          </w:p>
        </w:tc>
        <w:tc>
          <w:tcPr>
            <w:tcW w:w="2176" w:type="pct"/>
            <w:shd w:val="clear" w:color="auto" w:fill="BDD6EE" w:themeFill="accent5" w:themeFillTint="66"/>
            <w:vAlign w:val="center"/>
          </w:tcPr>
          <w:p w14:paraId="37980E92" w14:textId="1F3E7E4D" w:rsidR="00EF365A" w:rsidRPr="00FC08D2" w:rsidRDefault="00EF365A" w:rsidP="001B3C6F">
            <w:pPr>
              <w:spacing w:after="0" w:line="240" w:lineRule="auto"/>
              <w:jc w:val="center"/>
              <w:rPr>
                <w:b/>
              </w:rPr>
            </w:pPr>
            <w:r w:rsidRPr="00FC08D2">
              <w:rPr>
                <w:b/>
              </w:rPr>
              <w:lastRenderedPageBreak/>
              <w:t>Spoluúčast</w:t>
            </w:r>
          </w:p>
        </w:tc>
      </w:tr>
      <w:tr w:rsidR="003721A7" w:rsidRPr="00FC08D2" w14:paraId="70A4210C" w14:textId="77777777" w:rsidTr="008D3CF6">
        <w:trPr>
          <w:trHeight w:val="309"/>
        </w:trPr>
        <w:tc>
          <w:tcPr>
            <w:tcW w:w="2824" w:type="pct"/>
            <w:vAlign w:val="center"/>
          </w:tcPr>
          <w:p w14:paraId="78BC7DEF" w14:textId="6EE02B87" w:rsidR="003721A7" w:rsidRPr="00FC08D2" w:rsidRDefault="006F38E3" w:rsidP="0077758E">
            <w:pPr>
              <w:spacing w:after="0" w:line="240" w:lineRule="auto"/>
              <w:jc w:val="center"/>
            </w:pPr>
            <w:r>
              <w:t xml:space="preserve">Vichřice, krupobití: </w:t>
            </w:r>
            <w:r w:rsidR="00A25912">
              <w:t>1</w:t>
            </w:r>
            <w:r w:rsidR="007F4729">
              <w:t>0</w:t>
            </w:r>
            <w:r w:rsidR="003721A7" w:rsidRPr="00FC08D2">
              <w:t>0 000 000 Kč</w:t>
            </w:r>
          </w:p>
        </w:tc>
        <w:tc>
          <w:tcPr>
            <w:tcW w:w="2176" w:type="pct"/>
            <w:vMerge w:val="restart"/>
            <w:vAlign w:val="center"/>
          </w:tcPr>
          <w:p w14:paraId="7238305C" w14:textId="5C8405D0" w:rsidR="003721A7" w:rsidRPr="00FC08D2" w:rsidRDefault="00A34FB7" w:rsidP="0077758E">
            <w:pPr>
              <w:spacing w:after="0" w:line="240" w:lineRule="auto"/>
              <w:jc w:val="center"/>
            </w:pPr>
            <w:r>
              <w:t>10</w:t>
            </w:r>
            <w:r w:rsidR="003721A7" w:rsidRPr="00FC08D2">
              <w:t> 000 Kč</w:t>
            </w:r>
          </w:p>
        </w:tc>
      </w:tr>
      <w:tr w:rsidR="003721A7" w:rsidRPr="00D33CE1" w14:paraId="09C9E2FC" w14:textId="77777777" w:rsidTr="008D3CF6">
        <w:trPr>
          <w:trHeight w:val="309"/>
        </w:trPr>
        <w:tc>
          <w:tcPr>
            <w:tcW w:w="2824" w:type="pct"/>
            <w:vAlign w:val="center"/>
          </w:tcPr>
          <w:p w14:paraId="6394AB4A" w14:textId="4FDFD13B" w:rsidR="003721A7" w:rsidRPr="00D33CE1" w:rsidRDefault="003721A7" w:rsidP="0077758E">
            <w:pPr>
              <w:spacing w:after="0" w:line="240" w:lineRule="auto"/>
              <w:jc w:val="center"/>
            </w:pPr>
            <w:r w:rsidRPr="00D33CE1">
              <w:t xml:space="preserve">Tíha sněhu nebo námrazy, sesuv půdy, zřícení skal nebo zemin, sesuv nebo zřícení sněhových lavin, </w:t>
            </w:r>
            <w:r w:rsidR="002A6FC1" w:rsidRPr="00D33CE1">
              <w:t>zemětřesení, kouř, aerodynamický třesk, náraz dopravního prostředku, pád stromů, stožárů nebo jiných předmětů:</w:t>
            </w:r>
            <w:r w:rsidRPr="00D33CE1">
              <w:t xml:space="preserve"> </w:t>
            </w:r>
            <w:r w:rsidR="00A25912" w:rsidRPr="00D33CE1">
              <w:t>1</w:t>
            </w:r>
            <w:r w:rsidR="00A34FB7">
              <w:t>0</w:t>
            </w:r>
            <w:r w:rsidRPr="00D33CE1">
              <w:t>0 000 000 Kč</w:t>
            </w:r>
          </w:p>
        </w:tc>
        <w:tc>
          <w:tcPr>
            <w:tcW w:w="2176" w:type="pct"/>
            <w:vMerge/>
            <w:vAlign w:val="center"/>
          </w:tcPr>
          <w:p w14:paraId="597C1F4E" w14:textId="77777777" w:rsidR="003721A7" w:rsidRPr="00D33CE1" w:rsidRDefault="003721A7" w:rsidP="0077758E">
            <w:pPr>
              <w:spacing w:after="0" w:line="240" w:lineRule="auto"/>
              <w:jc w:val="center"/>
            </w:pPr>
          </w:p>
        </w:tc>
      </w:tr>
    </w:tbl>
    <w:p w14:paraId="21158363" w14:textId="77777777" w:rsidR="002A6FC1" w:rsidRPr="00D33CE1" w:rsidRDefault="002A6FC1" w:rsidP="0077758E">
      <w:pPr>
        <w:pStyle w:val="Bezmezer"/>
        <w:jc w:val="both"/>
        <w:rPr>
          <w:color w:val="FF0000"/>
        </w:rPr>
      </w:pPr>
    </w:p>
    <w:p w14:paraId="515E3C63" w14:textId="77777777" w:rsidR="00EF365A" w:rsidRPr="00D33CE1" w:rsidRDefault="00EF365A" w:rsidP="00275895">
      <w:pPr>
        <w:shd w:val="clear" w:color="auto" w:fill="FFFFFF" w:themeFill="background1"/>
        <w:tabs>
          <w:tab w:val="right" w:pos="9072"/>
        </w:tabs>
        <w:spacing w:after="0" w:line="240" w:lineRule="auto"/>
        <w:rPr>
          <w:b/>
        </w:rPr>
      </w:pPr>
      <w:bookmarkStart w:id="3" w:name="_Hlk193190631"/>
      <w:r w:rsidRPr="00275895">
        <w:rPr>
          <w:b/>
        </w:rPr>
        <w:t>1.4. Nepřímý úder blesku, přepětí, indukce</w:t>
      </w:r>
      <w:r w:rsidRPr="00D33CE1">
        <w:rPr>
          <w:b/>
        </w:rPr>
        <w:tab/>
      </w:r>
    </w:p>
    <w:p w14:paraId="273F907C" w14:textId="77777777" w:rsidR="00EF365A" w:rsidRPr="00D33CE1" w:rsidRDefault="00EF365A" w:rsidP="0077758E">
      <w:pPr>
        <w:spacing w:after="0" w:line="240" w:lineRule="auto"/>
        <w:rPr>
          <w:b/>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3938"/>
      </w:tblGrid>
      <w:tr w:rsidR="00EF365A" w:rsidRPr="009C1E34" w14:paraId="0C2075B9" w14:textId="77777777" w:rsidTr="0029686F">
        <w:trPr>
          <w:trHeight w:val="442"/>
        </w:trPr>
        <w:tc>
          <w:tcPr>
            <w:tcW w:w="2824" w:type="pct"/>
            <w:shd w:val="clear" w:color="auto" w:fill="BDD6EE" w:themeFill="accent5" w:themeFillTint="66"/>
            <w:vAlign w:val="center"/>
          </w:tcPr>
          <w:p w14:paraId="4C96BBD0" w14:textId="77777777" w:rsidR="00EF365A" w:rsidRPr="00D33CE1" w:rsidRDefault="00EF365A" w:rsidP="0077758E">
            <w:pPr>
              <w:spacing w:after="0" w:line="240" w:lineRule="auto"/>
              <w:jc w:val="center"/>
              <w:rPr>
                <w:b/>
              </w:rPr>
            </w:pPr>
            <w:r w:rsidRPr="00D33CE1">
              <w:rPr>
                <w:b/>
              </w:rPr>
              <w:t>Pojistná částka/limit plnění</w:t>
            </w:r>
          </w:p>
          <w:p w14:paraId="4DB00170" w14:textId="3E245552" w:rsidR="00EF365A" w:rsidRPr="00D33CE1" w:rsidRDefault="00F6365B" w:rsidP="0077758E">
            <w:pPr>
              <w:spacing w:after="0" w:line="240" w:lineRule="auto"/>
              <w:jc w:val="center"/>
              <w:rPr>
                <w:b/>
              </w:rPr>
            </w:pPr>
            <w:r w:rsidRPr="00D33CE1">
              <w:rPr>
                <w:b/>
              </w:rPr>
              <w:t xml:space="preserve">za </w:t>
            </w:r>
            <w:r w:rsidRPr="00A02DC9">
              <w:rPr>
                <w:b/>
              </w:rPr>
              <w:t xml:space="preserve">soubory </w:t>
            </w:r>
            <w:proofErr w:type="gramStart"/>
            <w:r w:rsidRPr="00A02DC9">
              <w:rPr>
                <w:b/>
              </w:rPr>
              <w:t>1</w:t>
            </w:r>
            <w:r w:rsidRPr="00D33CE1">
              <w:rPr>
                <w:b/>
              </w:rPr>
              <w:t xml:space="preserve"> - </w:t>
            </w:r>
            <w:r w:rsidR="00F62C3E">
              <w:rPr>
                <w:b/>
              </w:rPr>
              <w:t>6</w:t>
            </w:r>
            <w:proofErr w:type="gramEnd"/>
            <w:r w:rsidR="00EF365A" w:rsidRPr="00D33CE1">
              <w:rPr>
                <w:b/>
              </w:rPr>
              <w:t xml:space="preserve"> specifikované pro pojistné nebezpečí </w:t>
            </w:r>
            <w:proofErr w:type="spellStart"/>
            <w:r w:rsidR="00EF365A" w:rsidRPr="00D33CE1">
              <w:rPr>
                <w:b/>
              </w:rPr>
              <w:t>flexa</w:t>
            </w:r>
            <w:proofErr w:type="spellEnd"/>
          </w:p>
        </w:tc>
        <w:tc>
          <w:tcPr>
            <w:tcW w:w="2176" w:type="pct"/>
            <w:shd w:val="clear" w:color="auto" w:fill="BDD6EE" w:themeFill="accent5" w:themeFillTint="66"/>
            <w:vAlign w:val="center"/>
          </w:tcPr>
          <w:p w14:paraId="74340E96" w14:textId="77777777" w:rsidR="00EF365A" w:rsidRPr="009C1E34" w:rsidRDefault="00EF365A" w:rsidP="0077758E">
            <w:pPr>
              <w:spacing w:after="0" w:line="240" w:lineRule="auto"/>
              <w:jc w:val="center"/>
              <w:rPr>
                <w:b/>
              </w:rPr>
            </w:pPr>
            <w:r w:rsidRPr="00D33CE1">
              <w:rPr>
                <w:b/>
              </w:rPr>
              <w:t>Spoluúčast</w:t>
            </w:r>
          </w:p>
        </w:tc>
      </w:tr>
      <w:tr w:rsidR="00EF365A" w:rsidRPr="00FC08D2" w14:paraId="6986BFF8" w14:textId="77777777" w:rsidTr="008D3CF6">
        <w:trPr>
          <w:trHeight w:val="258"/>
        </w:trPr>
        <w:tc>
          <w:tcPr>
            <w:tcW w:w="2824" w:type="pct"/>
            <w:vAlign w:val="center"/>
          </w:tcPr>
          <w:p w14:paraId="5450FCF8" w14:textId="1B5519B6" w:rsidR="00EF365A" w:rsidRPr="009C1E34" w:rsidRDefault="00876361" w:rsidP="0077758E">
            <w:pPr>
              <w:spacing w:after="0" w:line="240" w:lineRule="auto"/>
              <w:jc w:val="center"/>
            </w:pPr>
            <w:r>
              <w:t>5</w:t>
            </w:r>
            <w:r w:rsidR="00A25912">
              <w:t>00</w:t>
            </w:r>
            <w:r w:rsidR="00EF365A" w:rsidRPr="009C1E34">
              <w:t> 000 Kč</w:t>
            </w:r>
          </w:p>
        </w:tc>
        <w:tc>
          <w:tcPr>
            <w:tcW w:w="2176" w:type="pct"/>
            <w:vAlign w:val="center"/>
          </w:tcPr>
          <w:p w14:paraId="420589DD" w14:textId="12B71296" w:rsidR="00EF365A" w:rsidRPr="009C1E34" w:rsidRDefault="00A25912" w:rsidP="0077758E">
            <w:pPr>
              <w:spacing w:after="0" w:line="240" w:lineRule="auto"/>
              <w:jc w:val="center"/>
            </w:pPr>
            <w:r>
              <w:t>5</w:t>
            </w:r>
            <w:r w:rsidR="00337AD9" w:rsidRPr="009C1E34">
              <w:t> 000 Kč</w:t>
            </w:r>
          </w:p>
        </w:tc>
      </w:tr>
      <w:bookmarkEnd w:id="3"/>
    </w:tbl>
    <w:p w14:paraId="717F8161" w14:textId="77777777" w:rsidR="00EF365A" w:rsidRPr="00FC08D2" w:rsidRDefault="00EF365A" w:rsidP="0077758E">
      <w:pPr>
        <w:pStyle w:val="Bezmezer"/>
        <w:jc w:val="both"/>
      </w:pPr>
    </w:p>
    <w:p w14:paraId="439362D8" w14:textId="77777777" w:rsidR="00EF365A" w:rsidRPr="00FC08D2" w:rsidRDefault="00EF365A" w:rsidP="00275895">
      <w:pPr>
        <w:shd w:val="clear" w:color="auto" w:fill="FFFFFF" w:themeFill="background1"/>
        <w:spacing w:after="0" w:line="240" w:lineRule="auto"/>
        <w:jc w:val="both"/>
      </w:pPr>
      <w:r w:rsidRPr="00275895">
        <w:rPr>
          <w:b/>
        </w:rPr>
        <w:t>1.5. Vodovodní škody</w:t>
      </w:r>
      <w:r w:rsidRPr="00275895">
        <w:t xml:space="preserve"> (voda unikající z vodovodních zařízení) včetně přetlaku a zamrzání vody</w:t>
      </w:r>
    </w:p>
    <w:p w14:paraId="0843D502" w14:textId="77777777" w:rsidR="00EF365A" w:rsidRPr="00FC08D2" w:rsidRDefault="00EF365A" w:rsidP="0077758E">
      <w:pPr>
        <w:spacing w:after="0" w:line="240" w:lineRule="auto"/>
        <w:jc w:val="both"/>
        <w:rPr>
          <w:b/>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3941"/>
      </w:tblGrid>
      <w:tr w:rsidR="00EF365A" w:rsidRPr="00FC08D2" w14:paraId="714F137A" w14:textId="77777777" w:rsidTr="0029686F">
        <w:trPr>
          <w:trHeight w:val="473"/>
        </w:trPr>
        <w:tc>
          <w:tcPr>
            <w:tcW w:w="2824" w:type="pct"/>
            <w:shd w:val="clear" w:color="auto" w:fill="BDD6EE" w:themeFill="accent5" w:themeFillTint="66"/>
            <w:vAlign w:val="center"/>
          </w:tcPr>
          <w:p w14:paraId="2D4F6DB7" w14:textId="77777777" w:rsidR="00EF365A" w:rsidRPr="00FC08D2" w:rsidRDefault="00EF365A" w:rsidP="0077758E">
            <w:pPr>
              <w:spacing w:after="0" w:line="240" w:lineRule="auto"/>
              <w:jc w:val="center"/>
              <w:rPr>
                <w:b/>
              </w:rPr>
            </w:pPr>
            <w:r w:rsidRPr="00FC08D2">
              <w:rPr>
                <w:b/>
              </w:rPr>
              <w:t>Pojistná částka/limit plnění</w:t>
            </w:r>
          </w:p>
          <w:p w14:paraId="5B30E3F7" w14:textId="36C63CE8" w:rsidR="00EF365A" w:rsidRPr="00FC08D2" w:rsidRDefault="00F6365B" w:rsidP="0077758E">
            <w:pPr>
              <w:spacing w:after="0" w:line="240" w:lineRule="auto"/>
              <w:jc w:val="center"/>
              <w:rPr>
                <w:b/>
              </w:rPr>
            </w:pPr>
            <w:r>
              <w:rPr>
                <w:b/>
              </w:rPr>
              <w:t xml:space="preserve">za soubory </w:t>
            </w:r>
            <w:proofErr w:type="gramStart"/>
            <w:r>
              <w:rPr>
                <w:b/>
              </w:rPr>
              <w:t xml:space="preserve">1 - </w:t>
            </w:r>
            <w:r w:rsidR="00F62C3E">
              <w:rPr>
                <w:b/>
              </w:rPr>
              <w:t>6</w:t>
            </w:r>
            <w:proofErr w:type="gramEnd"/>
            <w:r w:rsidR="00EF365A" w:rsidRPr="00FC08D2">
              <w:rPr>
                <w:b/>
              </w:rPr>
              <w:t xml:space="preserve"> specifikované pro pojistné nebezpečí </w:t>
            </w:r>
            <w:proofErr w:type="spellStart"/>
            <w:r w:rsidR="00EF365A" w:rsidRPr="00FC08D2">
              <w:rPr>
                <w:b/>
              </w:rPr>
              <w:t>flexa</w:t>
            </w:r>
            <w:proofErr w:type="spellEnd"/>
          </w:p>
        </w:tc>
        <w:tc>
          <w:tcPr>
            <w:tcW w:w="2176" w:type="pct"/>
            <w:shd w:val="clear" w:color="auto" w:fill="BDD6EE" w:themeFill="accent5" w:themeFillTint="66"/>
            <w:vAlign w:val="center"/>
          </w:tcPr>
          <w:p w14:paraId="7DA65670" w14:textId="77777777" w:rsidR="00EF365A" w:rsidRPr="00FC08D2" w:rsidRDefault="00EF365A" w:rsidP="0077758E">
            <w:pPr>
              <w:spacing w:after="0" w:line="240" w:lineRule="auto"/>
              <w:jc w:val="center"/>
              <w:rPr>
                <w:b/>
              </w:rPr>
            </w:pPr>
            <w:r w:rsidRPr="00FC08D2">
              <w:rPr>
                <w:b/>
              </w:rPr>
              <w:t>Spoluúčast</w:t>
            </w:r>
          </w:p>
        </w:tc>
      </w:tr>
      <w:tr w:rsidR="00EF365A" w:rsidRPr="00FC08D2" w14:paraId="406469E2" w14:textId="77777777" w:rsidTr="00FE1020">
        <w:trPr>
          <w:trHeight w:val="276"/>
        </w:trPr>
        <w:tc>
          <w:tcPr>
            <w:tcW w:w="2824" w:type="pct"/>
            <w:vAlign w:val="center"/>
          </w:tcPr>
          <w:p w14:paraId="01AB14DA" w14:textId="4916CF70" w:rsidR="00EF365A" w:rsidRPr="00FC08D2" w:rsidRDefault="009455CD" w:rsidP="0077758E">
            <w:pPr>
              <w:spacing w:after="0" w:line="240" w:lineRule="auto"/>
              <w:jc w:val="center"/>
            </w:pPr>
            <w:r>
              <w:t>3</w:t>
            </w:r>
            <w:r w:rsidR="009E6289">
              <w:t>0</w:t>
            </w:r>
            <w:r w:rsidR="009C1E34">
              <w:t> 000 000 Kč</w:t>
            </w:r>
          </w:p>
        </w:tc>
        <w:tc>
          <w:tcPr>
            <w:tcW w:w="2176" w:type="pct"/>
            <w:vAlign w:val="center"/>
          </w:tcPr>
          <w:p w14:paraId="1B4BA778" w14:textId="39FC8774" w:rsidR="00EF365A" w:rsidRPr="00FC08D2" w:rsidRDefault="00A25912" w:rsidP="0077758E">
            <w:pPr>
              <w:spacing w:after="0" w:line="240" w:lineRule="auto"/>
              <w:jc w:val="center"/>
            </w:pPr>
            <w:r>
              <w:t>5</w:t>
            </w:r>
            <w:r w:rsidR="00EF365A" w:rsidRPr="00FC08D2">
              <w:t xml:space="preserve"> 000 Kč</w:t>
            </w:r>
          </w:p>
        </w:tc>
      </w:tr>
    </w:tbl>
    <w:p w14:paraId="673ED1ED" w14:textId="77777777" w:rsidR="00EF365A" w:rsidRDefault="00EF365A" w:rsidP="0077758E">
      <w:pPr>
        <w:pStyle w:val="Bezmezer"/>
        <w:jc w:val="both"/>
        <w:rPr>
          <w:b/>
        </w:rPr>
      </w:pPr>
    </w:p>
    <w:p w14:paraId="3981B0A7" w14:textId="2343F8CB" w:rsidR="000E753A" w:rsidRPr="00D33CE1" w:rsidRDefault="000E753A" w:rsidP="000E753A">
      <w:pPr>
        <w:shd w:val="clear" w:color="auto" w:fill="FFFFFF" w:themeFill="background1"/>
        <w:tabs>
          <w:tab w:val="right" w:pos="9072"/>
        </w:tabs>
        <w:spacing w:after="0" w:line="240" w:lineRule="auto"/>
        <w:rPr>
          <w:b/>
        </w:rPr>
      </w:pPr>
      <w:r w:rsidRPr="00275895">
        <w:rPr>
          <w:b/>
        </w:rPr>
        <w:t>1.</w:t>
      </w:r>
      <w:r>
        <w:rPr>
          <w:b/>
        </w:rPr>
        <w:t>6</w:t>
      </w:r>
      <w:r w:rsidRPr="00275895">
        <w:rPr>
          <w:b/>
        </w:rPr>
        <w:t xml:space="preserve">. </w:t>
      </w:r>
      <w:r>
        <w:rPr>
          <w:b/>
        </w:rPr>
        <w:t>Atmosférické srážk</w:t>
      </w:r>
      <w:r w:rsidR="006D5C62">
        <w:rPr>
          <w:b/>
        </w:rPr>
        <w:t>y</w:t>
      </w:r>
      <w:r w:rsidRPr="00D33CE1">
        <w:rPr>
          <w:b/>
        </w:rPr>
        <w:tab/>
      </w:r>
    </w:p>
    <w:p w14:paraId="3F62BB27" w14:textId="77777777" w:rsidR="000E753A" w:rsidRPr="00D33CE1" w:rsidRDefault="000E753A" w:rsidP="000E753A">
      <w:pPr>
        <w:spacing w:after="0" w:line="240" w:lineRule="auto"/>
        <w:rPr>
          <w:b/>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3938"/>
      </w:tblGrid>
      <w:tr w:rsidR="000E753A" w:rsidRPr="009C1E34" w14:paraId="421512AB" w14:textId="77777777" w:rsidTr="005A1889">
        <w:trPr>
          <w:trHeight w:val="442"/>
        </w:trPr>
        <w:tc>
          <w:tcPr>
            <w:tcW w:w="2824" w:type="pct"/>
            <w:shd w:val="clear" w:color="auto" w:fill="BDD6EE" w:themeFill="accent5" w:themeFillTint="66"/>
            <w:vAlign w:val="center"/>
          </w:tcPr>
          <w:p w14:paraId="49B2A1C2" w14:textId="77777777" w:rsidR="000E753A" w:rsidRPr="00D33CE1" w:rsidRDefault="000E753A" w:rsidP="005A1889">
            <w:pPr>
              <w:spacing w:after="0" w:line="240" w:lineRule="auto"/>
              <w:jc w:val="center"/>
              <w:rPr>
                <w:b/>
              </w:rPr>
            </w:pPr>
            <w:r w:rsidRPr="00D33CE1">
              <w:rPr>
                <w:b/>
              </w:rPr>
              <w:t>Pojistná částka/limit plnění</w:t>
            </w:r>
          </w:p>
          <w:p w14:paraId="64F45A1A" w14:textId="77777777" w:rsidR="000E753A" w:rsidRPr="00D33CE1" w:rsidRDefault="000E753A" w:rsidP="005A1889">
            <w:pPr>
              <w:spacing w:after="0" w:line="240" w:lineRule="auto"/>
              <w:jc w:val="center"/>
              <w:rPr>
                <w:b/>
              </w:rPr>
            </w:pPr>
            <w:r w:rsidRPr="00D33CE1">
              <w:rPr>
                <w:b/>
              </w:rPr>
              <w:t xml:space="preserve">za </w:t>
            </w:r>
            <w:r w:rsidRPr="00A02DC9">
              <w:rPr>
                <w:b/>
              </w:rPr>
              <w:t xml:space="preserve">soubory </w:t>
            </w:r>
            <w:proofErr w:type="gramStart"/>
            <w:r w:rsidRPr="00A02DC9">
              <w:rPr>
                <w:b/>
              </w:rPr>
              <w:t>1</w:t>
            </w:r>
            <w:r w:rsidRPr="00D33CE1">
              <w:rPr>
                <w:b/>
              </w:rPr>
              <w:t xml:space="preserve"> - </w:t>
            </w:r>
            <w:r>
              <w:rPr>
                <w:b/>
              </w:rPr>
              <w:t>6</w:t>
            </w:r>
            <w:proofErr w:type="gramEnd"/>
            <w:r w:rsidRPr="00D33CE1">
              <w:rPr>
                <w:b/>
              </w:rPr>
              <w:t xml:space="preserve"> specifikované pro pojistné nebezpečí </w:t>
            </w:r>
            <w:proofErr w:type="spellStart"/>
            <w:r w:rsidRPr="00D33CE1">
              <w:rPr>
                <w:b/>
              </w:rPr>
              <w:t>flexa</w:t>
            </w:r>
            <w:proofErr w:type="spellEnd"/>
          </w:p>
        </w:tc>
        <w:tc>
          <w:tcPr>
            <w:tcW w:w="2176" w:type="pct"/>
            <w:shd w:val="clear" w:color="auto" w:fill="BDD6EE" w:themeFill="accent5" w:themeFillTint="66"/>
            <w:vAlign w:val="center"/>
          </w:tcPr>
          <w:p w14:paraId="0D31945B" w14:textId="77777777" w:rsidR="000E753A" w:rsidRPr="009C1E34" w:rsidRDefault="000E753A" w:rsidP="005A1889">
            <w:pPr>
              <w:spacing w:after="0" w:line="240" w:lineRule="auto"/>
              <w:jc w:val="center"/>
              <w:rPr>
                <w:b/>
              </w:rPr>
            </w:pPr>
            <w:r w:rsidRPr="00D33CE1">
              <w:rPr>
                <w:b/>
              </w:rPr>
              <w:t>Spoluúčast</w:t>
            </w:r>
          </w:p>
        </w:tc>
      </w:tr>
      <w:tr w:rsidR="000E753A" w:rsidRPr="00FC08D2" w14:paraId="0DEFE2FD" w14:textId="77777777" w:rsidTr="005A1889">
        <w:trPr>
          <w:trHeight w:val="258"/>
        </w:trPr>
        <w:tc>
          <w:tcPr>
            <w:tcW w:w="2824" w:type="pct"/>
            <w:vAlign w:val="center"/>
          </w:tcPr>
          <w:p w14:paraId="3D79F905" w14:textId="691EEEB8" w:rsidR="000E753A" w:rsidRPr="009C1E34" w:rsidRDefault="005A3C31" w:rsidP="005A1889">
            <w:pPr>
              <w:spacing w:after="0" w:line="240" w:lineRule="auto"/>
              <w:jc w:val="center"/>
            </w:pPr>
            <w:r>
              <w:t>2</w:t>
            </w:r>
            <w:r w:rsidR="006D5C62">
              <w:t>.0</w:t>
            </w:r>
            <w:r w:rsidR="000E753A">
              <w:t>00</w:t>
            </w:r>
            <w:r w:rsidR="000E753A" w:rsidRPr="009C1E34">
              <w:t> 000 Kč</w:t>
            </w:r>
          </w:p>
        </w:tc>
        <w:tc>
          <w:tcPr>
            <w:tcW w:w="2176" w:type="pct"/>
            <w:vAlign w:val="center"/>
          </w:tcPr>
          <w:p w14:paraId="0B5318ED" w14:textId="77777777" w:rsidR="000E753A" w:rsidRPr="009C1E34" w:rsidRDefault="000E753A" w:rsidP="005A1889">
            <w:pPr>
              <w:spacing w:after="0" w:line="240" w:lineRule="auto"/>
              <w:jc w:val="center"/>
            </w:pPr>
            <w:r>
              <w:t>5</w:t>
            </w:r>
            <w:r w:rsidRPr="009C1E34">
              <w:t> 000 Kč</w:t>
            </w:r>
          </w:p>
        </w:tc>
      </w:tr>
    </w:tbl>
    <w:p w14:paraId="78E1902E" w14:textId="2A13846B" w:rsidR="000E753A" w:rsidRDefault="000E753A" w:rsidP="0077758E">
      <w:pPr>
        <w:pStyle w:val="Bezmezer"/>
        <w:jc w:val="both"/>
        <w:rPr>
          <w:b/>
        </w:rPr>
      </w:pPr>
    </w:p>
    <w:p w14:paraId="41FA1CC4" w14:textId="77777777" w:rsidR="000E753A" w:rsidRDefault="000E753A" w:rsidP="0077758E">
      <w:pPr>
        <w:pStyle w:val="Bezmezer"/>
        <w:jc w:val="both"/>
        <w:rPr>
          <w:b/>
        </w:rPr>
      </w:pPr>
    </w:p>
    <w:p w14:paraId="78062F7E" w14:textId="77777777" w:rsidR="007A0605" w:rsidRDefault="007A0605" w:rsidP="0077758E">
      <w:pPr>
        <w:pStyle w:val="Bezmezer"/>
        <w:jc w:val="both"/>
        <w:rPr>
          <w:b/>
        </w:rPr>
      </w:pPr>
    </w:p>
    <w:p w14:paraId="2CBE18A8" w14:textId="77777777" w:rsidR="007A0605" w:rsidRPr="00FC08D2" w:rsidRDefault="007A0605" w:rsidP="007A0605">
      <w:pPr>
        <w:pStyle w:val="Seznam"/>
        <w:ind w:left="720" w:firstLine="0"/>
        <w:jc w:val="both"/>
        <w:rPr>
          <w:rFonts w:ascii="Calibri" w:hAnsi="Calibri"/>
          <w:sz w:val="22"/>
          <w:szCs w:val="22"/>
        </w:rPr>
      </w:pPr>
    </w:p>
    <w:p w14:paraId="13C4B3C9" w14:textId="77777777" w:rsidR="007A0605" w:rsidRPr="00FC08D2" w:rsidRDefault="007A0605" w:rsidP="007A0605">
      <w:pPr>
        <w:shd w:val="clear" w:color="auto" w:fill="F7CAAC" w:themeFill="accent2" w:themeFillTint="66"/>
        <w:spacing w:after="0" w:line="240" w:lineRule="auto"/>
        <w:jc w:val="both"/>
        <w:rPr>
          <w:b/>
        </w:rPr>
      </w:pPr>
      <w:r w:rsidRPr="00275895">
        <w:rPr>
          <w:b/>
        </w:rPr>
        <w:t>2. Pojištění odcizení a vandalismus</w:t>
      </w:r>
    </w:p>
    <w:p w14:paraId="7C31D5D2" w14:textId="77777777" w:rsidR="007A0605" w:rsidRDefault="007A0605" w:rsidP="007A0605">
      <w:pPr>
        <w:spacing w:after="0" w:line="240" w:lineRule="auto"/>
        <w:jc w:val="both"/>
      </w:pPr>
    </w:p>
    <w:p w14:paraId="1EE4D526" w14:textId="77777777" w:rsidR="007A0605" w:rsidRPr="00FC08D2" w:rsidRDefault="007A0605" w:rsidP="007A0605">
      <w:pPr>
        <w:spacing w:after="0" w:line="240" w:lineRule="auto"/>
        <w:jc w:val="both"/>
      </w:pPr>
    </w:p>
    <w:p w14:paraId="4BD1D005" w14:textId="58E705B9" w:rsidR="007A0605" w:rsidRPr="00FC08D2" w:rsidRDefault="007A0605" w:rsidP="007A0605">
      <w:pPr>
        <w:spacing w:after="0" w:line="240" w:lineRule="auto"/>
        <w:jc w:val="both"/>
      </w:pPr>
      <w:r w:rsidRPr="009C3C00">
        <w:rPr>
          <w:b/>
          <w:bCs/>
        </w:rPr>
        <w:t>2.1. Předmětem pojištění</w:t>
      </w:r>
      <w:r w:rsidR="00E73708">
        <w:rPr>
          <w:b/>
          <w:bCs/>
        </w:rPr>
        <w:t xml:space="preserve"> A</w:t>
      </w:r>
      <w:r w:rsidRPr="00FC08D2">
        <w:t xml:space="preserve"> je majetek</w:t>
      </w:r>
      <w:r>
        <w:t xml:space="preserve"> definovaný pod položkami 1 až 6</w:t>
      </w:r>
      <w:r w:rsidRPr="00FC08D2">
        <w:t xml:space="preserve"> v živelním pojištění pro pojistné nebezpečí </w:t>
      </w:r>
      <w:proofErr w:type="spellStart"/>
      <w:r w:rsidRPr="00FC08D2">
        <w:t>flexa</w:t>
      </w:r>
      <w:proofErr w:type="spellEnd"/>
      <w:r w:rsidRPr="00FC08D2">
        <w:t>. Pro tento majetek jsou v pojištění odcizení stanoveny následující pojistné částky:</w:t>
      </w:r>
    </w:p>
    <w:p w14:paraId="4B263904" w14:textId="77777777" w:rsidR="007A0605" w:rsidRPr="00FC08D2" w:rsidRDefault="007A0605" w:rsidP="007A0605">
      <w:pPr>
        <w:spacing w:after="0" w:line="240" w:lineRule="auto"/>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10"/>
        <w:gridCol w:w="3260"/>
      </w:tblGrid>
      <w:tr w:rsidR="002B443E" w:rsidRPr="00FC08D2" w14:paraId="685B795B" w14:textId="77777777" w:rsidTr="00450A9B">
        <w:tc>
          <w:tcPr>
            <w:tcW w:w="3397" w:type="dxa"/>
            <w:shd w:val="clear" w:color="auto" w:fill="BDD6EE" w:themeFill="accent5" w:themeFillTint="66"/>
            <w:vAlign w:val="center"/>
          </w:tcPr>
          <w:p w14:paraId="2E47155E" w14:textId="77777777" w:rsidR="002B443E" w:rsidRPr="00FC08D2" w:rsidRDefault="002B443E" w:rsidP="00873C7C">
            <w:pPr>
              <w:spacing w:after="0" w:line="240" w:lineRule="auto"/>
              <w:jc w:val="center"/>
              <w:rPr>
                <w:b/>
              </w:rPr>
            </w:pPr>
            <w:r w:rsidRPr="00FC08D2">
              <w:rPr>
                <w:b/>
              </w:rPr>
              <w:t>Pojistná částka/limit plnění</w:t>
            </w:r>
          </w:p>
        </w:tc>
        <w:tc>
          <w:tcPr>
            <w:tcW w:w="2410" w:type="dxa"/>
            <w:shd w:val="clear" w:color="auto" w:fill="BDD6EE" w:themeFill="accent5" w:themeFillTint="66"/>
            <w:vAlign w:val="center"/>
          </w:tcPr>
          <w:p w14:paraId="780B8572" w14:textId="77777777" w:rsidR="002B443E" w:rsidRPr="00FC08D2" w:rsidRDefault="002B443E" w:rsidP="00873C7C">
            <w:pPr>
              <w:spacing w:after="0" w:line="240" w:lineRule="auto"/>
              <w:jc w:val="center"/>
              <w:rPr>
                <w:b/>
              </w:rPr>
            </w:pPr>
            <w:r w:rsidRPr="00FC08D2">
              <w:rPr>
                <w:b/>
              </w:rPr>
              <w:t>Pojistné nebezpečí</w:t>
            </w:r>
          </w:p>
        </w:tc>
        <w:tc>
          <w:tcPr>
            <w:tcW w:w="3260" w:type="dxa"/>
            <w:shd w:val="clear" w:color="auto" w:fill="BDD6EE" w:themeFill="accent5" w:themeFillTint="66"/>
            <w:vAlign w:val="center"/>
          </w:tcPr>
          <w:p w14:paraId="6D0B5F7F" w14:textId="77777777" w:rsidR="002B443E" w:rsidRPr="00FC08D2" w:rsidRDefault="002B443E" w:rsidP="00873C7C">
            <w:pPr>
              <w:spacing w:after="0" w:line="240" w:lineRule="auto"/>
              <w:jc w:val="center"/>
              <w:rPr>
                <w:b/>
              </w:rPr>
            </w:pPr>
            <w:r w:rsidRPr="00FC08D2">
              <w:rPr>
                <w:b/>
              </w:rPr>
              <w:t>Spoluúčast</w:t>
            </w:r>
          </w:p>
        </w:tc>
      </w:tr>
      <w:tr w:rsidR="002B443E" w:rsidRPr="00FC08D2" w14:paraId="5B1F7194" w14:textId="77777777" w:rsidTr="00450A9B">
        <w:trPr>
          <w:trHeight w:val="269"/>
        </w:trPr>
        <w:tc>
          <w:tcPr>
            <w:tcW w:w="3397" w:type="dxa"/>
            <w:vMerge w:val="restart"/>
            <w:shd w:val="clear" w:color="auto" w:fill="auto"/>
            <w:vAlign w:val="center"/>
          </w:tcPr>
          <w:p w14:paraId="227CC94C" w14:textId="5609184D" w:rsidR="002B443E" w:rsidRPr="00C95FC4" w:rsidRDefault="00450A9B" w:rsidP="00873C7C">
            <w:pPr>
              <w:spacing w:after="0" w:line="240" w:lineRule="auto"/>
              <w:jc w:val="center"/>
            </w:pPr>
            <w:r>
              <w:t>1</w:t>
            </w:r>
            <w:r w:rsidR="002B443E">
              <w:t>.0</w:t>
            </w:r>
            <w:r w:rsidR="002B443E" w:rsidRPr="00C95FC4">
              <w:t>00 000 Kč na 1. riziko</w:t>
            </w:r>
          </w:p>
          <w:p w14:paraId="28432587" w14:textId="77777777" w:rsidR="002B443E" w:rsidRPr="00FC08D2" w:rsidRDefault="002B443E" w:rsidP="00873C7C">
            <w:pPr>
              <w:spacing w:after="0" w:line="240" w:lineRule="auto"/>
              <w:jc w:val="center"/>
              <w:rPr>
                <w:color w:val="FF0000"/>
              </w:rPr>
            </w:pPr>
          </w:p>
        </w:tc>
        <w:tc>
          <w:tcPr>
            <w:tcW w:w="2410" w:type="dxa"/>
            <w:vMerge w:val="restart"/>
            <w:shd w:val="clear" w:color="auto" w:fill="auto"/>
            <w:vAlign w:val="center"/>
          </w:tcPr>
          <w:p w14:paraId="3303795F" w14:textId="77777777" w:rsidR="002B443E" w:rsidRPr="00FC08D2" w:rsidRDefault="002B443E" w:rsidP="00873C7C">
            <w:pPr>
              <w:spacing w:after="0" w:line="240" w:lineRule="auto"/>
              <w:jc w:val="center"/>
            </w:pPr>
            <w:r w:rsidRPr="00FC08D2">
              <w:t>krádež vloupáním, loupež, vandalismus</w:t>
            </w:r>
          </w:p>
        </w:tc>
        <w:tc>
          <w:tcPr>
            <w:tcW w:w="3260" w:type="dxa"/>
            <w:vMerge w:val="restart"/>
            <w:shd w:val="clear" w:color="auto" w:fill="auto"/>
            <w:vAlign w:val="center"/>
          </w:tcPr>
          <w:p w14:paraId="2753F65F" w14:textId="77777777" w:rsidR="002B443E" w:rsidRPr="00FC08D2" w:rsidRDefault="002B443E" w:rsidP="00873C7C">
            <w:pPr>
              <w:spacing w:after="0" w:line="240" w:lineRule="auto"/>
              <w:jc w:val="center"/>
              <w:rPr>
                <w:color w:val="FF0000"/>
              </w:rPr>
            </w:pPr>
            <w:r w:rsidRPr="002949C7">
              <w:t xml:space="preserve"> </w:t>
            </w:r>
            <w:r>
              <w:t>1</w:t>
            </w:r>
            <w:r w:rsidRPr="002949C7">
              <w:t> 000 Kč</w:t>
            </w:r>
            <w:r w:rsidRPr="00FC08D2">
              <w:rPr>
                <w:color w:val="FF0000"/>
              </w:rPr>
              <w:t xml:space="preserve"> </w:t>
            </w:r>
          </w:p>
        </w:tc>
      </w:tr>
      <w:tr w:rsidR="002B443E" w:rsidRPr="00FC08D2" w14:paraId="2B9847AC" w14:textId="77777777" w:rsidTr="00450A9B">
        <w:trPr>
          <w:trHeight w:val="269"/>
        </w:trPr>
        <w:tc>
          <w:tcPr>
            <w:tcW w:w="3397" w:type="dxa"/>
            <w:vMerge/>
            <w:shd w:val="clear" w:color="auto" w:fill="auto"/>
            <w:vAlign w:val="center"/>
          </w:tcPr>
          <w:p w14:paraId="6C339C9A" w14:textId="77777777" w:rsidR="002B443E" w:rsidRPr="00FC08D2" w:rsidRDefault="002B443E" w:rsidP="00873C7C">
            <w:pPr>
              <w:spacing w:after="0" w:line="240" w:lineRule="auto"/>
              <w:jc w:val="center"/>
              <w:rPr>
                <w:color w:val="FF0000"/>
              </w:rPr>
            </w:pPr>
          </w:p>
        </w:tc>
        <w:tc>
          <w:tcPr>
            <w:tcW w:w="2410" w:type="dxa"/>
            <w:vMerge/>
            <w:shd w:val="clear" w:color="auto" w:fill="auto"/>
            <w:vAlign w:val="center"/>
          </w:tcPr>
          <w:p w14:paraId="130BA3E7" w14:textId="77777777" w:rsidR="002B443E" w:rsidRPr="00FC08D2" w:rsidRDefault="002B443E" w:rsidP="00873C7C">
            <w:pPr>
              <w:spacing w:after="0" w:line="240" w:lineRule="auto"/>
              <w:jc w:val="center"/>
            </w:pPr>
          </w:p>
        </w:tc>
        <w:tc>
          <w:tcPr>
            <w:tcW w:w="3260" w:type="dxa"/>
            <w:vMerge/>
            <w:shd w:val="clear" w:color="auto" w:fill="auto"/>
            <w:vAlign w:val="center"/>
          </w:tcPr>
          <w:p w14:paraId="409B9462" w14:textId="77777777" w:rsidR="002B443E" w:rsidRPr="00FC08D2" w:rsidRDefault="002B443E" w:rsidP="00873C7C">
            <w:pPr>
              <w:spacing w:after="0" w:line="240" w:lineRule="auto"/>
              <w:jc w:val="center"/>
            </w:pPr>
          </w:p>
        </w:tc>
      </w:tr>
      <w:tr w:rsidR="002B443E" w:rsidRPr="00FC08D2" w14:paraId="1F4682D3" w14:textId="77777777" w:rsidTr="00450A9B">
        <w:trPr>
          <w:trHeight w:val="269"/>
        </w:trPr>
        <w:tc>
          <w:tcPr>
            <w:tcW w:w="3397" w:type="dxa"/>
            <w:vMerge/>
            <w:shd w:val="clear" w:color="auto" w:fill="auto"/>
            <w:vAlign w:val="center"/>
          </w:tcPr>
          <w:p w14:paraId="52B6EE04" w14:textId="77777777" w:rsidR="002B443E" w:rsidRPr="00FC08D2" w:rsidRDefault="002B443E" w:rsidP="00873C7C">
            <w:pPr>
              <w:spacing w:after="0" w:line="240" w:lineRule="auto"/>
              <w:jc w:val="center"/>
              <w:rPr>
                <w:color w:val="FF0000"/>
              </w:rPr>
            </w:pPr>
          </w:p>
        </w:tc>
        <w:tc>
          <w:tcPr>
            <w:tcW w:w="2410" w:type="dxa"/>
            <w:vMerge/>
            <w:shd w:val="clear" w:color="auto" w:fill="auto"/>
            <w:vAlign w:val="center"/>
          </w:tcPr>
          <w:p w14:paraId="4ED5E732" w14:textId="77777777" w:rsidR="002B443E" w:rsidRPr="00FC08D2" w:rsidRDefault="002B443E" w:rsidP="00873C7C">
            <w:pPr>
              <w:spacing w:after="0" w:line="240" w:lineRule="auto"/>
              <w:jc w:val="center"/>
            </w:pPr>
          </w:p>
        </w:tc>
        <w:tc>
          <w:tcPr>
            <w:tcW w:w="3260" w:type="dxa"/>
            <w:vMerge/>
            <w:shd w:val="clear" w:color="auto" w:fill="auto"/>
            <w:vAlign w:val="center"/>
          </w:tcPr>
          <w:p w14:paraId="7F133789" w14:textId="77777777" w:rsidR="002B443E" w:rsidRPr="00FC08D2" w:rsidRDefault="002B443E" w:rsidP="00873C7C">
            <w:pPr>
              <w:spacing w:after="0" w:line="240" w:lineRule="auto"/>
              <w:jc w:val="center"/>
            </w:pPr>
          </w:p>
        </w:tc>
      </w:tr>
    </w:tbl>
    <w:p w14:paraId="6F159C76" w14:textId="77777777" w:rsidR="007A0605" w:rsidRPr="00FC08D2" w:rsidRDefault="007A0605" w:rsidP="007A0605">
      <w:pPr>
        <w:spacing w:after="0" w:line="240" w:lineRule="auto"/>
        <w:jc w:val="both"/>
        <w:rPr>
          <w:b/>
          <w:u w:val="single"/>
        </w:rPr>
      </w:pPr>
    </w:p>
    <w:p w14:paraId="2B204378" w14:textId="1991CA02" w:rsidR="007A0605" w:rsidRPr="004754D9" w:rsidRDefault="00E73708" w:rsidP="007A0605">
      <w:pPr>
        <w:spacing w:after="0" w:line="240" w:lineRule="auto"/>
        <w:jc w:val="both"/>
        <w:rPr>
          <w:u w:val="single"/>
        </w:rPr>
      </w:pPr>
      <w:r w:rsidRPr="00E73708">
        <w:rPr>
          <w:b/>
          <w:u w:val="single"/>
        </w:rPr>
        <w:t>2.</w:t>
      </w:r>
      <w:r>
        <w:rPr>
          <w:b/>
          <w:u w:val="single"/>
        </w:rPr>
        <w:t>2</w:t>
      </w:r>
      <w:r w:rsidRPr="00E73708">
        <w:rPr>
          <w:b/>
          <w:u w:val="single"/>
        </w:rPr>
        <w:t xml:space="preserve">. Předmětem pojištění </w:t>
      </w:r>
      <w:proofErr w:type="gramStart"/>
      <w:r>
        <w:rPr>
          <w:b/>
          <w:u w:val="single"/>
        </w:rPr>
        <w:t>B</w:t>
      </w:r>
      <w:r w:rsidRPr="00E73708">
        <w:rPr>
          <w:b/>
          <w:u w:val="single"/>
        </w:rPr>
        <w:t xml:space="preserve"> </w:t>
      </w:r>
      <w:r w:rsidR="004754D9">
        <w:rPr>
          <w:b/>
          <w:u w:val="single"/>
        </w:rPr>
        <w:t xml:space="preserve"> </w:t>
      </w:r>
      <w:r w:rsidR="004754D9">
        <w:t>jsou</w:t>
      </w:r>
      <w:proofErr w:type="gramEnd"/>
      <w:r w:rsidR="004754D9">
        <w:t xml:space="preserve"> p</w:t>
      </w:r>
      <w:r w:rsidR="007A0605" w:rsidRPr="00FC08D2">
        <w:t xml:space="preserve">latné tuzemské i cizozemské státovky, bankovky a mince, cenné papíry a </w:t>
      </w:r>
      <w:r w:rsidR="007A0605" w:rsidRPr="002876EE">
        <w:t>ceniny, klenoty, výrobky z drahých kovů, drahých kamenů a perel,</w:t>
      </w:r>
      <w:r w:rsidR="007A0605" w:rsidRPr="00FC08D2">
        <w:t xml:space="preserve"> vkladní a šekové knížky, platební </w:t>
      </w:r>
      <w:r w:rsidR="007A0605">
        <w:t xml:space="preserve">a kreditní </w:t>
      </w:r>
      <w:r w:rsidR="007A0605" w:rsidRPr="00FC08D2">
        <w:t>karty a jiné obdobné dokumenty</w:t>
      </w:r>
      <w:r w:rsidR="007A0605">
        <w:t>, poštovní známky, kolky, telefonní karty, dálniční známky, stravenky, jízdenky a kupóny MHD</w:t>
      </w:r>
      <w:r w:rsidR="007A0605" w:rsidRPr="00FC08D2">
        <w:t xml:space="preserve"> apod</w:t>
      </w:r>
      <w:r w:rsidR="007A0605" w:rsidRPr="004754D9">
        <w:t>.</w:t>
      </w:r>
      <w:r w:rsidR="007A0605" w:rsidRPr="004754D9">
        <w:rPr>
          <w:u w:val="single"/>
        </w:rPr>
        <w:t xml:space="preserve"> přepravovan</w:t>
      </w:r>
      <w:r w:rsidR="004754D9">
        <w:rPr>
          <w:u w:val="single"/>
        </w:rPr>
        <w:t>é</w:t>
      </w:r>
      <w:r w:rsidR="007A0605" w:rsidRPr="004754D9">
        <w:rPr>
          <w:u w:val="single"/>
        </w:rPr>
        <w:t xml:space="preserve"> pověřenou osobou</w:t>
      </w:r>
    </w:p>
    <w:p w14:paraId="0FC91BF4" w14:textId="77777777" w:rsidR="007A0605" w:rsidRPr="00FC08D2" w:rsidRDefault="007A0605" w:rsidP="007A0605">
      <w:pPr>
        <w:spacing w:after="0" w:line="240" w:lineRule="auto"/>
        <w:jc w:val="both"/>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2570"/>
        <w:gridCol w:w="3154"/>
      </w:tblGrid>
      <w:tr w:rsidR="007A0605" w:rsidRPr="00FC08D2" w14:paraId="6F992923" w14:textId="77777777" w:rsidTr="00425200">
        <w:trPr>
          <w:trHeight w:val="500"/>
        </w:trPr>
        <w:tc>
          <w:tcPr>
            <w:tcW w:w="1842" w:type="pct"/>
            <w:shd w:val="clear" w:color="auto" w:fill="BDD6EE" w:themeFill="accent5" w:themeFillTint="66"/>
            <w:vAlign w:val="center"/>
          </w:tcPr>
          <w:p w14:paraId="31420C73" w14:textId="77777777" w:rsidR="007A0605" w:rsidRPr="00FC08D2" w:rsidRDefault="007A0605" w:rsidP="00873C7C">
            <w:pPr>
              <w:spacing w:after="0" w:line="240" w:lineRule="auto"/>
              <w:jc w:val="center"/>
              <w:rPr>
                <w:b/>
              </w:rPr>
            </w:pPr>
            <w:r w:rsidRPr="00FC08D2">
              <w:rPr>
                <w:b/>
              </w:rPr>
              <w:lastRenderedPageBreak/>
              <w:t>Pojistná částka/limit plnění</w:t>
            </w:r>
          </w:p>
        </w:tc>
        <w:tc>
          <w:tcPr>
            <w:tcW w:w="1418" w:type="pct"/>
            <w:shd w:val="clear" w:color="auto" w:fill="BDD6EE" w:themeFill="accent5" w:themeFillTint="66"/>
            <w:vAlign w:val="center"/>
          </w:tcPr>
          <w:p w14:paraId="4DE46314" w14:textId="77777777" w:rsidR="007A0605" w:rsidRPr="00FC08D2" w:rsidRDefault="007A0605" w:rsidP="00873C7C">
            <w:pPr>
              <w:spacing w:after="0" w:line="240" w:lineRule="auto"/>
              <w:jc w:val="center"/>
              <w:rPr>
                <w:b/>
              </w:rPr>
            </w:pPr>
            <w:r w:rsidRPr="00FC08D2">
              <w:rPr>
                <w:b/>
              </w:rPr>
              <w:t>Spoluúčast</w:t>
            </w:r>
          </w:p>
        </w:tc>
        <w:tc>
          <w:tcPr>
            <w:tcW w:w="1740" w:type="pct"/>
            <w:shd w:val="clear" w:color="auto" w:fill="BDD6EE" w:themeFill="accent5" w:themeFillTint="66"/>
            <w:vAlign w:val="center"/>
          </w:tcPr>
          <w:p w14:paraId="4DB9E529" w14:textId="77777777" w:rsidR="007A0605" w:rsidRPr="00FC08D2" w:rsidRDefault="007A0605" w:rsidP="00873C7C">
            <w:pPr>
              <w:spacing w:after="0" w:line="240" w:lineRule="auto"/>
              <w:jc w:val="center"/>
              <w:rPr>
                <w:b/>
              </w:rPr>
            </w:pPr>
            <w:r w:rsidRPr="00FC08D2">
              <w:rPr>
                <w:b/>
              </w:rPr>
              <w:t>Pojistná nebezpečí</w:t>
            </w:r>
          </w:p>
        </w:tc>
      </w:tr>
      <w:tr w:rsidR="00425200" w:rsidRPr="00FC08D2" w14:paraId="695BB6A4" w14:textId="77777777" w:rsidTr="00EB407A">
        <w:trPr>
          <w:trHeight w:val="594"/>
        </w:trPr>
        <w:tc>
          <w:tcPr>
            <w:tcW w:w="1842" w:type="pct"/>
            <w:vAlign w:val="center"/>
          </w:tcPr>
          <w:p w14:paraId="61CC1C59" w14:textId="7A5315F3" w:rsidR="00425200" w:rsidRPr="002949C7" w:rsidRDefault="00425200" w:rsidP="00450A9B">
            <w:pPr>
              <w:spacing w:after="0" w:line="240" w:lineRule="auto"/>
              <w:jc w:val="center"/>
            </w:pPr>
            <w:r w:rsidRPr="002949C7">
              <w:t>200 000 Kč na 1. riziko</w:t>
            </w:r>
          </w:p>
        </w:tc>
        <w:tc>
          <w:tcPr>
            <w:tcW w:w="1418" w:type="pct"/>
            <w:vAlign w:val="center"/>
          </w:tcPr>
          <w:p w14:paraId="6E686D41" w14:textId="77777777" w:rsidR="00425200" w:rsidRPr="00FC08D2" w:rsidRDefault="00425200" w:rsidP="00873C7C">
            <w:pPr>
              <w:spacing w:after="0" w:line="240" w:lineRule="auto"/>
              <w:jc w:val="center"/>
            </w:pPr>
            <w:r w:rsidRPr="002949C7">
              <w:t>1 000 Kč</w:t>
            </w:r>
          </w:p>
        </w:tc>
        <w:tc>
          <w:tcPr>
            <w:tcW w:w="1740" w:type="pct"/>
            <w:vAlign w:val="center"/>
          </w:tcPr>
          <w:p w14:paraId="3734382C" w14:textId="77777777" w:rsidR="00425200" w:rsidRPr="00FC08D2" w:rsidRDefault="00425200" w:rsidP="00873C7C">
            <w:pPr>
              <w:spacing w:after="0" w:line="240" w:lineRule="auto"/>
              <w:jc w:val="center"/>
              <w:rPr>
                <w:color w:val="FF0000"/>
              </w:rPr>
            </w:pPr>
            <w:r w:rsidRPr="00FC08D2">
              <w:t>krádež vloupáním, loupež</w:t>
            </w:r>
          </w:p>
        </w:tc>
      </w:tr>
    </w:tbl>
    <w:p w14:paraId="7E7A966E" w14:textId="77777777" w:rsidR="007A0605" w:rsidRPr="00FC08D2" w:rsidRDefault="007A0605" w:rsidP="007A0605">
      <w:pPr>
        <w:tabs>
          <w:tab w:val="left" w:pos="2835"/>
        </w:tabs>
        <w:spacing w:after="0" w:line="240" w:lineRule="auto"/>
        <w:jc w:val="both"/>
        <w:rPr>
          <w:b/>
        </w:rPr>
      </w:pPr>
      <w:r w:rsidRPr="00FC08D2">
        <w:rPr>
          <w:b/>
        </w:rPr>
        <w:t>Územní rozsah: Česká republika</w:t>
      </w:r>
    </w:p>
    <w:p w14:paraId="3FE9E688" w14:textId="228A96A7" w:rsidR="007A0605" w:rsidRPr="00FC08D2" w:rsidRDefault="007A0605" w:rsidP="007A0605">
      <w:pPr>
        <w:pStyle w:val="Zkladntext"/>
        <w:rPr>
          <w:rFonts w:ascii="Calibri" w:eastAsia="Calibri" w:hAnsi="Calibri"/>
          <w:b/>
          <w:sz w:val="22"/>
          <w:szCs w:val="22"/>
          <w:lang w:val="cs-CZ" w:eastAsia="en-US"/>
        </w:rPr>
      </w:pPr>
      <w:r w:rsidRPr="00FC08D2">
        <w:rPr>
          <w:rFonts w:ascii="Calibri" w:eastAsia="Calibri" w:hAnsi="Calibri"/>
          <w:b/>
          <w:sz w:val="22"/>
          <w:szCs w:val="22"/>
          <w:lang w:val="cs-CZ" w:eastAsia="en-US"/>
        </w:rPr>
        <w:t xml:space="preserve">Přeprava </w:t>
      </w:r>
      <w:r w:rsidR="0005538D">
        <w:rPr>
          <w:rFonts w:ascii="Calibri" w:eastAsia="Calibri" w:hAnsi="Calibri"/>
          <w:b/>
          <w:sz w:val="22"/>
          <w:szCs w:val="22"/>
          <w:lang w:val="cs-CZ" w:eastAsia="en-US"/>
        </w:rPr>
        <w:t xml:space="preserve">cenností </w:t>
      </w:r>
      <w:r w:rsidRPr="00FC08D2">
        <w:rPr>
          <w:rFonts w:ascii="Calibri" w:eastAsia="Calibri" w:hAnsi="Calibri"/>
          <w:b/>
          <w:sz w:val="22"/>
          <w:szCs w:val="22"/>
          <w:lang w:val="cs-CZ" w:eastAsia="en-US"/>
        </w:rPr>
        <w:t xml:space="preserve">je prováděna </w:t>
      </w:r>
      <w:r w:rsidR="006D3F67">
        <w:rPr>
          <w:rFonts w:ascii="Calibri" w:eastAsia="Calibri" w:hAnsi="Calibri"/>
          <w:b/>
          <w:sz w:val="22"/>
          <w:szCs w:val="22"/>
          <w:lang w:val="cs-CZ" w:eastAsia="en-US"/>
        </w:rPr>
        <w:t xml:space="preserve">pojištěným </w:t>
      </w:r>
      <w:r w:rsidR="0005538D">
        <w:rPr>
          <w:rFonts w:ascii="Calibri" w:eastAsia="Calibri" w:hAnsi="Calibri"/>
          <w:b/>
          <w:sz w:val="22"/>
          <w:szCs w:val="22"/>
          <w:lang w:val="cs-CZ" w:eastAsia="en-US"/>
        </w:rPr>
        <w:t xml:space="preserve">na vlastní vrub </w:t>
      </w:r>
    </w:p>
    <w:p w14:paraId="0B3DD0E4" w14:textId="77777777" w:rsidR="007A0605" w:rsidRDefault="007A0605" w:rsidP="007A0605">
      <w:pPr>
        <w:tabs>
          <w:tab w:val="left" w:pos="2835"/>
        </w:tabs>
        <w:spacing w:after="0" w:line="240" w:lineRule="auto"/>
        <w:jc w:val="both"/>
        <w:rPr>
          <w:b/>
        </w:rPr>
      </w:pPr>
    </w:p>
    <w:p w14:paraId="0D7646B2" w14:textId="77777777" w:rsidR="007A0605" w:rsidRDefault="007A0605" w:rsidP="0077758E">
      <w:pPr>
        <w:pStyle w:val="Bezmezer"/>
        <w:jc w:val="both"/>
        <w:rPr>
          <w:b/>
        </w:rPr>
      </w:pPr>
    </w:p>
    <w:p w14:paraId="27714F09" w14:textId="77777777" w:rsidR="00FA7AC3" w:rsidRDefault="00FA7AC3" w:rsidP="00FA7AC3">
      <w:pPr>
        <w:spacing w:after="0" w:line="240" w:lineRule="auto"/>
        <w:jc w:val="both"/>
        <w:rPr>
          <w:b/>
          <w:highlight w:val="lightGray"/>
        </w:rPr>
      </w:pPr>
    </w:p>
    <w:p w14:paraId="40F1D194" w14:textId="77777777" w:rsidR="00FA7AC3" w:rsidRPr="00FC08D2" w:rsidRDefault="00FA7AC3" w:rsidP="00FA7AC3">
      <w:pPr>
        <w:spacing w:after="0" w:line="240" w:lineRule="auto"/>
        <w:jc w:val="both"/>
        <w:rPr>
          <w:b/>
          <w:highlight w:val="lightGray"/>
        </w:rPr>
      </w:pPr>
    </w:p>
    <w:p w14:paraId="1801F548" w14:textId="77777777" w:rsidR="00FA7AC3" w:rsidRPr="00275895" w:rsidRDefault="00FA7AC3" w:rsidP="00FA7AC3">
      <w:pPr>
        <w:shd w:val="clear" w:color="auto" w:fill="F7CAAC" w:themeFill="accent2" w:themeFillTint="66"/>
        <w:spacing w:after="0" w:line="240" w:lineRule="auto"/>
        <w:jc w:val="both"/>
        <w:rPr>
          <w:b/>
        </w:rPr>
      </w:pPr>
      <w:r w:rsidRPr="00275895">
        <w:rPr>
          <w:b/>
        </w:rPr>
        <w:t>3. Pojištění skel</w:t>
      </w:r>
    </w:p>
    <w:p w14:paraId="1E2B8ED2" w14:textId="77777777" w:rsidR="00FA7AC3" w:rsidRPr="00FC08D2" w:rsidRDefault="00FA7AC3" w:rsidP="00FA7AC3">
      <w:pPr>
        <w:spacing w:after="0" w:line="240" w:lineRule="auto"/>
        <w:jc w:val="both"/>
      </w:pPr>
    </w:p>
    <w:p w14:paraId="0812C298" w14:textId="77777777" w:rsidR="00FA7AC3" w:rsidRPr="0095149E" w:rsidRDefault="00FA7AC3" w:rsidP="00FA7AC3">
      <w:pPr>
        <w:spacing w:after="0" w:line="240" w:lineRule="auto"/>
        <w:jc w:val="both"/>
      </w:pPr>
      <w:r w:rsidRPr="00FC08D2">
        <w:rPr>
          <w:b/>
        </w:rPr>
        <w:t>Předmět pojištění: Soubor vlastních a cizích skel</w:t>
      </w:r>
      <w:r>
        <w:rPr>
          <w:b/>
        </w:rPr>
        <w:t xml:space="preserve"> </w:t>
      </w:r>
    </w:p>
    <w:p w14:paraId="4D6B35F6" w14:textId="77777777" w:rsidR="00C369DA" w:rsidRDefault="00C369DA" w:rsidP="00FA7AC3">
      <w:pPr>
        <w:spacing w:after="0" w:line="240" w:lineRule="auto"/>
        <w:rPr>
          <w:b/>
        </w:rPr>
      </w:pPr>
    </w:p>
    <w:p w14:paraId="52BFEC74" w14:textId="5F2945E4" w:rsidR="00FA7AC3" w:rsidRPr="00FC08D2" w:rsidRDefault="00FA7AC3" w:rsidP="00FA7AC3">
      <w:pPr>
        <w:spacing w:after="0" w:line="240" w:lineRule="auto"/>
      </w:pPr>
      <w:r w:rsidRPr="00FC08D2">
        <w:rPr>
          <w:b/>
        </w:rPr>
        <w:t>Pojistné riziko:</w:t>
      </w:r>
      <w:r>
        <w:t xml:space="preserve"> </w:t>
      </w:r>
      <w:r w:rsidRPr="00FC08D2">
        <w:t>All Risk</w:t>
      </w:r>
    </w:p>
    <w:p w14:paraId="27DEF090" w14:textId="77777777" w:rsidR="00FA7AC3" w:rsidRPr="00FC08D2" w:rsidRDefault="00FA7AC3" w:rsidP="00FA7AC3">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2570"/>
        <w:gridCol w:w="3157"/>
      </w:tblGrid>
      <w:tr w:rsidR="00FA7AC3" w:rsidRPr="00FC08D2" w14:paraId="57CF7616" w14:textId="77777777" w:rsidTr="000A1336">
        <w:trPr>
          <w:trHeight w:val="436"/>
        </w:trPr>
        <w:tc>
          <w:tcPr>
            <w:tcW w:w="1840" w:type="pct"/>
            <w:shd w:val="clear" w:color="auto" w:fill="BDD6EE" w:themeFill="accent5" w:themeFillTint="66"/>
          </w:tcPr>
          <w:p w14:paraId="2EBF96A9" w14:textId="77777777" w:rsidR="00FA7AC3" w:rsidRPr="00FC08D2" w:rsidRDefault="00FA7AC3" w:rsidP="000A1336">
            <w:pPr>
              <w:spacing w:after="0" w:line="240" w:lineRule="auto"/>
              <w:jc w:val="center"/>
              <w:rPr>
                <w:b/>
              </w:rPr>
            </w:pPr>
            <w:r w:rsidRPr="00FC08D2">
              <w:rPr>
                <w:b/>
              </w:rPr>
              <w:t>Pojistná částka/limit plnění</w:t>
            </w:r>
          </w:p>
        </w:tc>
        <w:tc>
          <w:tcPr>
            <w:tcW w:w="1418" w:type="pct"/>
            <w:shd w:val="clear" w:color="auto" w:fill="BDD6EE" w:themeFill="accent5" w:themeFillTint="66"/>
          </w:tcPr>
          <w:p w14:paraId="07039CC7" w14:textId="77777777" w:rsidR="00FA7AC3" w:rsidRPr="00FC08D2" w:rsidRDefault="00FA7AC3" w:rsidP="000A1336">
            <w:pPr>
              <w:spacing w:after="0" w:line="240" w:lineRule="auto"/>
              <w:jc w:val="center"/>
              <w:rPr>
                <w:b/>
              </w:rPr>
            </w:pPr>
            <w:r w:rsidRPr="00FC08D2">
              <w:rPr>
                <w:b/>
              </w:rPr>
              <w:t>Spoluúčast</w:t>
            </w:r>
          </w:p>
        </w:tc>
        <w:tc>
          <w:tcPr>
            <w:tcW w:w="1742" w:type="pct"/>
            <w:shd w:val="clear" w:color="auto" w:fill="BDD6EE" w:themeFill="accent5" w:themeFillTint="66"/>
          </w:tcPr>
          <w:p w14:paraId="30A2276E" w14:textId="77777777" w:rsidR="00FA7AC3" w:rsidRPr="00FC08D2" w:rsidRDefault="00FA7AC3" w:rsidP="000A1336">
            <w:pPr>
              <w:spacing w:after="0" w:line="240" w:lineRule="auto"/>
              <w:jc w:val="center"/>
              <w:rPr>
                <w:b/>
              </w:rPr>
            </w:pPr>
            <w:r w:rsidRPr="00FC08D2">
              <w:rPr>
                <w:b/>
              </w:rPr>
              <w:t>Pojistná hodnota</w:t>
            </w:r>
          </w:p>
        </w:tc>
      </w:tr>
      <w:tr w:rsidR="00FA7AC3" w:rsidRPr="00FC08D2" w14:paraId="51D6A35E" w14:textId="77777777" w:rsidTr="000A1336">
        <w:trPr>
          <w:trHeight w:val="255"/>
        </w:trPr>
        <w:tc>
          <w:tcPr>
            <w:tcW w:w="1840" w:type="pct"/>
          </w:tcPr>
          <w:p w14:paraId="4CF1FCA3" w14:textId="77777777" w:rsidR="00FA7AC3" w:rsidRPr="006879A7" w:rsidRDefault="00FA7AC3" w:rsidP="000A1336">
            <w:pPr>
              <w:spacing w:after="0" w:line="240" w:lineRule="auto"/>
              <w:jc w:val="center"/>
            </w:pPr>
            <w:r>
              <w:t>2</w:t>
            </w:r>
            <w:r w:rsidRPr="006879A7">
              <w:t>00 000 Kč</w:t>
            </w:r>
          </w:p>
        </w:tc>
        <w:tc>
          <w:tcPr>
            <w:tcW w:w="1418" w:type="pct"/>
          </w:tcPr>
          <w:p w14:paraId="7A75E076" w14:textId="77777777" w:rsidR="00FA7AC3" w:rsidRPr="00FC08D2" w:rsidRDefault="00FA7AC3" w:rsidP="000A1336">
            <w:pPr>
              <w:spacing w:after="0" w:line="240" w:lineRule="auto"/>
              <w:jc w:val="center"/>
            </w:pPr>
            <w:r>
              <w:t>1 000</w:t>
            </w:r>
            <w:r w:rsidRPr="00FC08D2">
              <w:t xml:space="preserve"> Kč</w:t>
            </w:r>
          </w:p>
        </w:tc>
        <w:tc>
          <w:tcPr>
            <w:tcW w:w="1742" w:type="pct"/>
          </w:tcPr>
          <w:p w14:paraId="17311A9C" w14:textId="11417A71" w:rsidR="00FA7AC3" w:rsidRPr="00FC08D2" w:rsidRDefault="00FA7AC3" w:rsidP="000A1336">
            <w:pPr>
              <w:spacing w:after="0" w:line="240" w:lineRule="auto"/>
              <w:jc w:val="center"/>
            </w:pPr>
            <w:r w:rsidRPr="00FC08D2">
              <w:t>První riziko</w:t>
            </w:r>
            <w:r w:rsidR="00C005D7">
              <w:t xml:space="preserve"> na novou hodnotu</w:t>
            </w:r>
          </w:p>
        </w:tc>
      </w:tr>
    </w:tbl>
    <w:p w14:paraId="32463F0A" w14:textId="77777777" w:rsidR="00FA7AC3" w:rsidRDefault="00FA7AC3" w:rsidP="00FA7AC3">
      <w:pPr>
        <w:spacing w:after="0" w:line="240" w:lineRule="auto"/>
      </w:pPr>
    </w:p>
    <w:p w14:paraId="62ADDB9F" w14:textId="77777777" w:rsidR="00FA7AC3" w:rsidRDefault="00FA7AC3" w:rsidP="00FA7AC3">
      <w:pPr>
        <w:pStyle w:val="Bezmezer"/>
        <w:jc w:val="both"/>
        <w:rPr>
          <w:b/>
        </w:rPr>
      </w:pPr>
    </w:p>
    <w:p w14:paraId="2EE3F3F1" w14:textId="77777777" w:rsidR="00A46E9D" w:rsidRPr="00FA7AC3" w:rsidRDefault="00A46E9D" w:rsidP="00FA7AC3">
      <w:pPr>
        <w:pStyle w:val="Bezmezer"/>
        <w:jc w:val="both"/>
        <w:rPr>
          <w:b/>
        </w:rPr>
      </w:pPr>
    </w:p>
    <w:p w14:paraId="691533E9" w14:textId="77777777" w:rsidR="00353A18" w:rsidRPr="00FC08D2" w:rsidRDefault="00353A18" w:rsidP="00353A18">
      <w:pPr>
        <w:spacing w:after="0" w:line="240" w:lineRule="auto"/>
        <w:ind w:left="720"/>
        <w:jc w:val="both"/>
      </w:pPr>
    </w:p>
    <w:p w14:paraId="6D755C44" w14:textId="77777777" w:rsidR="00353A18" w:rsidRPr="00FC08D2" w:rsidRDefault="00353A18" w:rsidP="00353A18">
      <w:pPr>
        <w:shd w:val="clear" w:color="auto" w:fill="F7CAAC" w:themeFill="accent2" w:themeFillTint="66"/>
        <w:spacing w:after="0" w:line="240" w:lineRule="auto"/>
        <w:jc w:val="both"/>
        <w:rPr>
          <w:b/>
        </w:rPr>
      </w:pPr>
      <w:r w:rsidRPr="00275895">
        <w:rPr>
          <w:b/>
        </w:rPr>
        <w:t xml:space="preserve">4. Pojištění </w:t>
      </w:r>
      <w:r>
        <w:rPr>
          <w:b/>
        </w:rPr>
        <w:t>strojů a elektronických zařízení</w:t>
      </w:r>
      <w:r w:rsidRPr="00275895">
        <w:rPr>
          <w:b/>
        </w:rPr>
        <w:t xml:space="preserve"> </w:t>
      </w:r>
      <w:r w:rsidRPr="00FC08D2">
        <w:rPr>
          <w:b/>
        </w:rPr>
        <w:t xml:space="preserve"> </w:t>
      </w:r>
    </w:p>
    <w:p w14:paraId="135FD98A" w14:textId="77777777" w:rsidR="00C369DA" w:rsidRDefault="00C369DA" w:rsidP="00353A18">
      <w:pPr>
        <w:spacing w:after="0" w:line="240" w:lineRule="auto"/>
        <w:jc w:val="both"/>
        <w:rPr>
          <w:b/>
        </w:rPr>
      </w:pPr>
    </w:p>
    <w:p w14:paraId="1AC804E5" w14:textId="779111AC" w:rsidR="00353A18" w:rsidRPr="00FC08D2" w:rsidRDefault="00353A18" w:rsidP="00353A18">
      <w:pPr>
        <w:spacing w:after="0" w:line="240" w:lineRule="auto"/>
        <w:jc w:val="both"/>
      </w:pPr>
      <w:r w:rsidRPr="00FC08D2">
        <w:rPr>
          <w:b/>
        </w:rPr>
        <w:t>Pojistné riziko:</w:t>
      </w:r>
      <w:r>
        <w:t xml:space="preserve"> All Risk</w:t>
      </w:r>
      <w:r w:rsidRPr="00FC08D2">
        <w:t xml:space="preserve"> vyjma živlu, odcizení a vandalismu</w:t>
      </w:r>
    </w:p>
    <w:p w14:paraId="06708230" w14:textId="77777777" w:rsidR="00353A18" w:rsidRPr="00FC08D2" w:rsidRDefault="00353A18" w:rsidP="00353A18">
      <w:pPr>
        <w:spacing w:after="0" w:line="240" w:lineRule="auto"/>
        <w:jc w:val="both"/>
      </w:pPr>
    </w:p>
    <w:p w14:paraId="253F195F" w14:textId="4EFD1C7E" w:rsidR="00353A18" w:rsidRPr="00FC08D2" w:rsidRDefault="00C369DA" w:rsidP="00353A18">
      <w:pPr>
        <w:spacing w:after="0" w:line="240" w:lineRule="auto"/>
        <w:jc w:val="both"/>
        <w:rPr>
          <w:b/>
        </w:rPr>
      </w:pPr>
      <w:r>
        <w:rPr>
          <w:b/>
        </w:rPr>
        <w:t xml:space="preserve">Předmět </w:t>
      </w:r>
      <w:proofErr w:type="gramStart"/>
      <w:r>
        <w:rPr>
          <w:b/>
        </w:rPr>
        <w:t xml:space="preserve">pojištění: </w:t>
      </w:r>
      <w:r w:rsidR="00353A18" w:rsidRPr="00FC08D2">
        <w:rPr>
          <w:b/>
        </w:rPr>
        <w:t xml:space="preserve"> Soubor</w:t>
      </w:r>
      <w:proofErr w:type="gramEnd"/>
      <w:r w:rsidR="00353A18" w:rsidRPr="00FC08D2">
        <w:rPr>
          <w:b/>
        </w:rPr>
        <w:t xml:space="preserve"> vlastní </w:t>
      </w:r>
      <w:r w:rsidR="00353A18" w:rsidRPr="00496896">
        <w:rPr>
          <w:b/>
        </w:rPr>
        <w:t>a cizí</w:t>
      </w:r>
      <w:r w:rsidR="00353A18" w:rsidRPr="00496896">
        <w:rPr>
          <w:b/>
          <w:u w:val="single"/>
        </w:rPr>
        <w:t xml:space="preserve"> </w:t>
      </w:r>
      <w:r w:rsidR="00353A18" w:rsidRPr="00FC08D2">
        <w:rPr>
          <w:b/>
        </w:rPr>
        <w:t>elektroniky včetně jejich součástí, příslušenství</w:t>
      </w:r>
      <w:r w:rsidR="00353A18">
        <w:rPr>
          <w:b/>
        </w:rPr>
        <w:t xml:space="preserve"> a</w:t>
      </w:r>
      <w:r w:rsidR="00353A18" w:rsidRPr="00FC08D2">
        <w:rPr>
          <w:b/>
        </w:rPr>
        <w:t xml:space="preserve"> prvků </w:t>
      </w:r>
      <w:r w:rsidR="00353A18">
        <w:t>např.</w:t>
      </w:r>
      <w:r w:rsidR="00353A18" w:rsidRPr="00FC08D2">
        <w:t xml:space="preserve"> </w:t>
      </w:r>
      <w:r w:rsidR="00353A18">
        <w:t xml:space="preserve">lékařské </w:t>
      </w:r>
      <w:proofErr w:type="gramStart"/>
      <w:r w:rsidR="00353A18">
        <w:t>stroje,  přístroje</w:t>
      </w:r>
      <w:proofErr w:type="gramEnd"/>
      <w:r w:rsidR="00353A18">
        <w:t xml:space="preserve">, zařízení, nástroje a sondy, přenosná elektronika, </w:t>
      </w:r>
      <w:r w:rsidR="00353A18" w:rsidRPr="00FC08D2">
        <w:t>kamerový systém,</w:t>
      </w:r>
      <w:r w:rsidR="00353A18">
        <w:t xml:space="preserve"> EZS, EPS, klimatizace</w:t>
      </w:r>
      <w:r w:rsidR="00353A18" w:rsidRPr="00FC08D2">
        <w:t>, měřící zařízení, počítačová technika, výpočetní technika</w:t>
      </w:r>
      <w:r w:rsidR="00353A18">
        <w:t>, kancelářská a telekomunikační technika, zabezpečovací technika</w:t>
      </w:r>
      <w:r w:rsidR="00353A18" w:rsidRPr="00FC08D2">
        <w:t xml:space="preserve">, </w:t>
      </w:r>
      <w:r w:rsidR="00353A18">
        <w:t xml:space="preserve">navigační zařízení, notebooky, </w:t>
      </w:r>
      <w:proofErr w:type="gramStart"/>
      <w:r w:rsidR="00353A18" w:rsidRPr="00FC08D2">
        <w:t>servery</w:t>
      </w:r>
      <w:r w:rsidR="00353A18">
        <w:t>,</w:t>
      </w:r>
      <w:proofErr w:type="gramEnd"/>
      <w:r w:rsidR="00353A18">
        <w:t xml:space="preserve"> </w:t>
      </w:r>
      <w:r w:rsidR="00353A18" w:rsidRPr="0028178E">
        <w:t>apo</w:t>
      </w:r>
      <w:r w:rsidR="00353A18">
        <w:t>d.</w:t>
      </w:r>
    </w:p>
    <w:p w14:paraId="00BD1241" w14:textId="77777777" w:rsidR="00353A18" w:rsidRPr="00FC08D2" w:rsidRDefault="00353A18" w:rsidP="00353A18">
      <w:pPr>
        <w:spacing w:after="0" w:line="240" w:lineRule="auto"/>
        <w:rPr>
          <w:b/>
          <w:color w:val="FF000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003"/>
        <w:gridCol w:w="2003"/>
        <w:gridCol w:w="2458"/>
      </w:tblGrid>
      <w:tr w:rsidR="00353A18" w:rsidRPr="00275895" w14:paraId="620954D4" w14:textId="77777777" w:rsidTr="000A1336">
        <w:trPr>
          <w:trHeight w:val="436"/>
        </w:trPr>
        <w:tc>
          <w:tcPr>
            <w:tcW w:w="1433" w:type="pct"/>
            <w:shd w:val="clear" w:color="auto" w:fill="BDD6EE" w:themeFill="accent5" w:themeFillTint="66"/>
          </w:tcPr>
          <w:p w14:paraId="7071F8B0" w14:textId="77777777" w:rsidR="00353A18" w:rsidRPr="00FC08D2" w:rsidRDefault="00353A18" w:rsidP="000A1336">
            <w:pPr>
              <w:spacing w:after="0" w:line="240" w:lineRule="auto"/>
              <w:jc w:val="center"/>
              <w:rPr>
                <w:b/>
              </w:rPr>
            </w:pPr>
            <w:r>
              <w:rPr>
                <w:b/>
              </w:rPr>
              <w:t>Pojistná částka</w:t>
            </w:r>
          </w:p>
        </w:tc>
        <w:tc>
          <w:tcPr>
            <w:tcW w:w="1105" w:type="pct"/>
            <w:shd w:val="clear" w:color="auto" w:fill="BDD6EE" w:themeFill="accent5" w:themeFillTint="66"/>
          </w:tcPr>
          <w:p w14:paraId="5F5E772A" w14:textId="77777777" w:rsidR="00353A18" w:rsidRPr="00FC08D2" w:rsidRDefault="00353A18" w:rsidP="000A1336">
            <w:pPr>
              <w:spacing w:after="0" w:line="240" w:lineRule="auto"/>
              <w:jc w:val="center"/>
              <w:rPr>
                <w:b/>
              </w:rPr>
            </w:pPr>
            <w:r w:rsidRPr="00FC08D2">
              <w:rPr>
                <w:b/>
              </w:rPr>
              <w:t>Limit plnění</w:t>
            </w:r>
          </w:p>
        </w:tc>
        <w:tc>
          <w:tcPr>
            <w:tcW w:w="1105" w:type="pct"/>
            <w:shd w:val="clear" w:color="auto" w:fill="BDD6EE" w:themeFill="accent5" w:themeFillTint="66"/>
          </w:tcPr>
          <w:p w14:paraId="460E7BF8" w14:textId="77777777" w:rsidR="00353A18" w:rsidRPr="00FC08D2" w:rsidRDefault="00353A18" w:rsidP="000A1336">
            <w:pPr>
              <w:spacing w:after="0" w:line="240" w:lineRule="auto"/>
              <w:jc w:val="center"/>
              <w:rPr>
                <w:b/>
              </w:rPr>
            </w:pPr>
            <w:r w:rsidRPr="00FC08D2">
              <w:rPr>
                <w:b/>
              </w:rPr>
              <w:t>Spoluúčast</w:t>
            </w:r>
          </w:p>
        </w:tc>
        <w:tc>
          <w:tcPr>
            <w:tcW w:w="1356" w:type="pct"/>
            <w:shd w:val="clear" w:color="auto" w:fill="BDD6EE" w:themeFill="accent5" w:themeFillTint="66"/>
          </w:tcPr>
          <w:p w14:paraId="34B6C0A5" w14:textId="77777777" w:rsidR="00353A18" w:rsidRPr="00FC08D2" w:rsidRDefault="00353A18" w:rsidP="000A1336">
            <w:pPr>
              <w:spacing w:after="0" w:line="240" w:lineRule="auto"/>
              <w:jc w:val="center"/>
              <w:rPr>
                <w:b/>
              </w:rPr>
            </w:pPr>
            <w:r w:rsidRPr="00FC08D2">
              <w:rPr>
                <w:b/>
              </w:rPr>
              <w:t>Pojistná hodnota</w:t>
            </w:r>
          </w:p>
        </w:tc>
      </w:tr>
      <w:tr w:rsidR="00353A18" w:rsidRPr="00FC08D2" w14:paraId="290D0DDA" w14:textId="77777777" w:rsidTr="000A1336">
        <w:trPr>
          <w:trHeight w:val="255"/>
        </w:trPr>
        <w:tc>
          <w:tcPr>
            <w:tcW w:w="1433" w:type="pct"/>
            <w:vAlign w:val="center"/>
          </w:tcPr>
          <w:p w14:paraId="1B082F85" w14:textId="77777777" w:rsidR="00353A18" w:rsidRPr="00B40548" w:rsidRDefault="00353A18" w:rsidP="000A1336">
            <w:pPr>
              <w:spacing w:after="0" w:line="240" w:lineRule="auto"/>
              <w:jc w:val="center"/>
            </w:pPr>
            <w:r>
              <w:t>187</w:t>
            </w:r>
            <w:r w:rsidRPr="00FE1290">
              <w:t>.</w:t>
            </w:r>
            <w:r>
              <w:t>6</w:t>
            </w:r>
            <w:r w:rsidRPr="00FE1290">
              <w:t>00.000 Kč</w:t>
            </w:r>
          </w:p>
        </w:tc>
        <w:tc>
          <w:tcPr>
            <w:tcW w:w="1105" w:type="pct"/>
          </w:tcPr>
          <w:p w14:paraId="2413C760" w14:textId="77777777" w:rsidR="00353A18" w:rsidRPr="00B40548" w:rsidRDefault="00353A18" w:rsidP="000A1336">
            <w:pPr>
              <w:spacing w:after="0" w:line="240" w:lineRule="auto"/>
              <w:jc w:val="center"/>
            </w:pPr>
            <w:r>
              <w:t>30</w:t>
            </w:r>
            <w:r w:rsidRPr="00B40548">
              <w:t> 000 000 Kč</w:t>
            </w:r>
          </w:p>
        </w:tc>
        <w:tc>
          <w:tcPr>
            <w:tcW w:w="1105" w:type="pct"/>
            <w:vAlign w:val="center"/>
          </w:tcPr>
          <w:p w14:paraId="25D48159" w14:textId="77777777" w:rsidR="00353A18" w:rsidRPr="00B40548" w:rsidRDefault="00353A18" w:rsidP="000A1336">
            <w:pPr>
              <w:spacing w:after="0" w:line="240" w:lineRule="auto"/>
              <w:jc w:val="center"/>
            </w:pPr>
            <w:r>
              <w:t>10</w:t>
            </w:r>
            <w:r w:rsidRPr="00B40548">
              <w:t xml:space="preserve"> 000 Kč</w:t>
            </w:r>
          </w:p>
        </w:tc>
        <w:tc>
          <w:tcPr>
            <w:tcW w:w="1356" w:type="pct"/>
            <w:vAlign w:val="center"/>
          </w:tcPr>
          <w:p w14:paraId="6472F425" w14:textId="77777777" w:rsidR="00353A18" w:rsidRPr="00FC08D2" w:rsidRDefault="00353A18" w:rsidP="000A1336">
            <w:pPr>
              <w:spacing w:after="0" w:line="240" w:lineRule="auto"/>
              <w:jc w:val="center"/>
            </w:pPr>
            <w:r>
              <w:t>Nová cena</w:t>
            </w:r>
          </w:p>
        </w:tc>
      </w:tr>
    </w:tbl>
    <w:p w14:paraId="74D938F0" w14:textId="77777777" w:rsidR="00353A18" w:rsidRDefault="00353A18" w:rsidP="00353A18">
      <w:pPr>
        <w:spacing w:after="0" w:line="240" w:lineRule="auto"/>
        <w:rPr>
          <w:b/>
        </w:rPr>
      </w:pPr>
    </w:p>
    <w:p w14:paraId="49782103" w14:textId="77777777" w:rsidR="00A46E9D" w:rsidRDefault="00A46E9D" w:rsidP="00353A18">
      <w:pPr>
        <w:spacing w:after="0" w:line="240" w:lineRule="auto"/>
        <w:rPr>
          <w:b/>
        </w:rPr>
      </w:pPr>
    </w:p>
    <w:p w14:paraId="675ADCDD" w14:textId="77777777" w:rsidR="00A46E9D" w:rsidRDefault="00A46E9D" w:rsidP="00353A18">
      <w:pPr>
        <w:spacing w:after="0" w:line="240" w:lineRule="auto"/>
        <w:rPr>
          <w:b/>
        </w:rPr>
      </w:pPr>
    </w:p>
    <w:p w14:paraId="04CC8410" w14:textId="77777777" w:rsidR="006B4C9D" w:rsidRDefault="006B4C9D" w:rsidP="006B4C9D">
      <w:pPr>
        <w:spacing w:after="0" w:line="240" w:lineRule="auto"/>
        <w:jc w:val="both"/>
      </w:pPr>
    </w:p>
    <w:p w14:paraId="34F312AF" w14:textId="77777777" w:rsidR="006B4C9D" w:rsidRPr="003E5E8C" w:rsidRDefault="006B4C9D" w:rsidP="006B4C9D">
      <w:pPr>
        <w:shd w:val="clear" w:color="auto" w:fill="F7CAAC" w:themeFill="accent2" w:themeFillTint="66"/>
        <w:spacing w:after="0" w:line="240" w:lineRule="auto"/>
        <w:jc w:val="both"/>
        <w:rPr>
          <w:b/>
        </w:rPr>
      </w:pPr>
      <w:r>
        <w:rPr>
          <w:b/>
        </w:rPr>
        <w:t>5</w:t>
      </w:r>
      <w:r w:rsidRPr="003E5E8C">
        <w:rPr>
          <w:b/>
        </w:rPr>
        <w:t xml:space="preserve">. Pojištění </w:t>
      </w:r>
      <w:r>
        <w:rPr>
          <w:b/>
        </w:rPr>
        <w:t>přerušení provozu</w:t>
      </w:r>
      <w:r w:rsidRPr="003E5E8C">
        <w:rPr>
          <w:b/>
        </w:rPr>
        <w:t xml:space="preserve">  </w:t>
      </w:r>
    </w:p>
    <w:p w14:paraId="6C20983E" w14:textId="77777777" w:rsidR="006B4C9D" w:rsidRDefault="006B4C9D" w:rsidP="006B4C9D">
      <w:pPr>
        <w:spacing w:after="0" w:line="240" w:lineRule="auto"/>
        <w:jc w:val="both"/>
      </w:pPr>
    </w:p>
    <w:p w14:paraId="1AC2DCB9" w14:textId="51123CAE" w:rsidR="006B4C9D" w:rsidRDefault="006B4C9D" w:rsidP="006B4C9D">
      <w:pPr>
        <w:spacing w:after="0" w:line="240" w:lineRule="auto"/>
        <w:jc w:val="both"/>
      </w:pPr>
      <w:r w:rsidRPr="00A601F2">
        <w:rPr>
          <w:b/>
          <w:bCs/>
        </w:rPr>
        <w:t>Předmět pojištění</w:t>
      </w:r>
      <w:r>
        <w:rPr>
          <w:b/>
          <w:bCs/>
        </w:rPr>
        <w:t>, pojistná nebezpečí</w:t>
      </w:r>
    </w:p>
    <w:p w14:paraId="52EFCFCC" w14:textId="77777777" w:rsidR="006B4C9D" w:rsidRPr="0029686F" w:rsidRDefault="006B4C9D" w:rsidP="006B4C9D">
      <w:pPr>
        <w:widowControl w:val="0"/>
        <w:spacing w:after="0" w:line="280" w:lineRule="atLeast"/>
        <w:jc w:val="both"/>
        <w:rPr>
          <w:rFonts w:ascii="Arial" w:hAnsi="Arial"/>
          <w:color w:val="000000"/>
          <w:sz w:val="16"/>
          <w:szCs w:val="20"/>
        </w:rPr>
      </w:pPr>
    </w:p>
    <w:tbl>
      <w:tblPr>
        <w:tblStyle w:val="Prosttabulka2"/>
        <w:tblW w:w="9351" w:type="dxa"/>
        <w:tblInd w:w="-5" w:type="dxa"/>
        <w:tblLayout w:type="fixed"/>
        <w:tblLook w:val="0000" w:firstRow="0" w:lastRow="0" w:firstColumn="0" w:lastColumn="0" w:noHBand="0" w:noVBand="0"/>
      </w:tblPr>
      <w:tblGrid>
        <w:gridCol w:w="3686"/>
        <w:gridCol w:w="2835"/>
        <w:gridCol w:w="1701"/>
        <w:gridCol w:w="1129"/>
      </w:tblGrid>
      <w:tr w:rsidR="006B4C9D" w:rsidRPr="00326D45" w14:paraId="5EADF924" w14:textId="77777777" w:rsidTr="000A1336">
        <w:trPr>
          <w:cnfStyle w:val="000000100000" w:firstRow="0" w:lastRow="0" w:firstColumn="0" w:lastColumn="0" w:oddVBand="0" w:evenVBand="0" w:oddHBand="1" w:evenHBand="0" w:firstRowFirstColumn="0" w:firstRowLastColumn="0" w:lastRowFirstColumn="0" w:lastRowLastColumn="0"/>
          <w:trHeight w:val="434"/>
        </w:trPr>
        <w:tc>
          <w:tcPr>
            <w:cnfStyle w:val="000010000000" w:firstRow="0" w:lastRow="0" w:firstColumn="0" w:lastColumn="0" w:oddVBand="1" w:evenVBand="0" w:oddHBand="0" w:evenHBand="0" w:firstRowFirstColumn="0" w:firstRowLastColumn="0" w:lastRowFirstColumn="0" w:lastRowLastColumn="0"/>
            <w:tcW w:w="3686" w:type="dxa"/>
            <w:shd w:val="clear" w:color="auto" w:fill="BDD6EE" w:themeFill="accent5" w:themeFillTint="66"/>
            <w:vAlign w:val="center"/>
          </w:tcPr>
          <w:p w14:paraId="55039475" w14:textId="77777777" w:rsidR="006B4C9D" w:rsidRPr="00326D45" w:rsidRDefault="006B4C9D" w:rsidP="000A1336">
            <w:pPr>
              <w:widowControl w:val="0"/>
              <w:tabs>
                <w:tab w:val="center" w:pos="4536"/>
                <w:tab w:val="right" w:pos="9072"/>
              </w:tabs>
              <w:spacing w:after="0" w:line="220" w:lineRule="atLeast"/>
              <w:rPr>
                <w:b/>
                <w:bCs/>
              </w:rPr>
            </w:pPr>
            <w:r>
              <w:rPr>
                <w:b/>
                <w:bCs/>
              </w:rPr>
              <w:t>předmět pojištění</w:t>
            </w:r>
          </w:p>
        </w:tc>
        <w:tc>
          <w:tcPr>
            <w:cnfStyle w:val="000001000000" w:firstRow="0" w:lastRow="0" w:firstColumn="0" w:lastColumn="0" w:oddVBand="0" w:evenVBand="1" w:oddHBand="0" w:evenHBand="0" w:firstRowFirstColumn="0" w:firstRowLastColumn="0" w:lastRowFirstColumn="0" w:lastRowLastColumn="0"/>
            <w:tcW w:w="2835" w:type="dxa"/>
            <w:shd w:val="clear" w:color="auto" w:fill="BDD6EE" w:themeFill="accent5" w:themeFillTint="66"/>
            <w:vAlign w:val="center"/>
          </w:tcPr>
          <w:p w14:paraId="0563340F" w14:textId="77777777" w:rsidR="006B4C9D" w:rsidRDefault="006B4C9D" w:rsidP="000A1336">
            <w:pPr>
              <w:widowControl w:val="0"/>
              <w:tabs>
                <w:tab w:val="center" w:pos="4536"/>
                <w:tab w:val="right" w:pos="9072"/>
              </w:tabs>
              <w:spacing w:after="0" w:line="220" w:lineRule="atLeast"/>
              <w:jc w:val="center"/>
              <w:rPr>
                <w:b/>
                <w:bCs/>
              </w:rPr>
            </w:pPr>
            <w:r>
              <w:rPr>
                <w:b/>
                <w:bCs/>
              </w:rPr>
              <w:t>Pojistná</w:t>
            </w:r>
          </w:p>
          <w:p w14:paraId="49D0D7F9" w14:textId="77777777" w:rsidR="006B4C9D" w:rsidRPr="00326D45" w:rsidRDefault="006B4C9D" w:rsidP="000A1336">
            <w:pPr>
              <w:widowControl w:val="0"/>
              <w:tabs>
                <w:tab w:val="center" w:pos="4536"/>
                <w:tab w:val="right" w:pos="9072"/>
              </w:tabs>
              <w:spacing w:after="0" w:line="220" w:lineRule="atLeast"/>
              <w:jc w:val="center"/>
              <w:rPr>
                <w:b/>
                <w:bCs/>
              </w:rPr>
            </w:pPr>
            <w:r>
              <w:rPr>
                <w:b/>
                <w:bCs/>
              </w:rPr>
              <w:t xml:space="preserve"> částka Kč</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BDD6EE" w:themeFill="accent5" w:themeFillTint="66"/>
            <w:vAlign w:val="center"/>
          </w:tcPr>
          <w:p w14:paraId="6BFA51F5" w14:textId="77777777" w:rsidR="006B4C9D" w:rsidRPr="00326D45" w:rsidRDefault="006B4C9D" w:rsidP="000A1336">
            <w:pPr>
              <w:widowControl w:val="0"/>
              <w:tabs>
                <w:tab w:val="center" w:pos="4536"/>
                <w:tab w:val="right" w:pos="9072"/>
              </w:tabs>
              <w:spacing w:after="0" w:line="220" w:lineRule="atLeast"/>
              <w:jc w:val="center"/>
              <w:rPr>
                <w:b/>
                <w:bCs/>
              </w:rPr>
            </w:pPr>
            <w:r w:rsidRPr="00326D45">
              <w:rPr>
                <w:b/>
                <w:bCs/>
              </w:rPr>
              <w:t>spoluúčast</w:t>
            </w:r>
          </w:p>
        </w:tc>
        <w:tc>
          <w:tcPr>
            <w:cnfStyle w:val="000001000000" w:firstRow="0" w:lastRow="0" w:firstColumn="0" w:lastColumn="0" w:oddVBand="0" w:evenVBand="1" w:oddHBand="0" w:evenHBand="0" w:firstRowFirstColumn="0" w:firstRowLastColumn="0" w:lastRowFirstColumn="0" w:lastRowLastColumn="0"/>
            <w:tcW w:w="1129" w:type="dxa"/>
            <w:shd w:val="clear" w:color="auto" w:fill="BDD6EE" w:themeFill="accent5" w:themeFillTint="66"/>
            <w:vAlign w:val="center"/>
          </w:tcPr>
          <w:p w14:paraId="7D27106C" w14:textId="77777777" w:rsidR="006B4C9D" w:rsidRPr="00326D45" w:rsidRDefault="006B4C9D" w:rsidP="000A1336">
            <w:pPr>
              <w:widowControl w:val="0"/>
              <w:tabs>
                <w:tab w:val="center" w:pos="4536"/>
                <w:tab w:val="right" w:pos="9072"/>
              </w:tabs>
              <w:spacing w:after="0" w:line="220" w:lineRule="atLeast"/>
              <w:jc w:val="center"/>
              <w:rPr>
                <w:b/>
                <w:bCs/>
              </w:rPr>
            </w:pPr>
            <w:r w:rsidRPr="00326D45">
              <w:rPr>
                <w:b/>
                <w:bCs/>
              </w:rPr>
              <w:t>doba ručení</w:t>
            </w:r>
          </w:p>
        </w:tc>
      </w:tr>
      <w:tr w:rsidR="006B4C9D" w:rsidRPr="00326D45" w14:paraId="2523301E" w14:textId="77777777" w:rsidTr="000A1336">
        <w:trPr>
          <w:trHeight w:val="230"/>
        </w:trPr>
        <w:tc>
          <w:tcPr>
            <w:cnfStyle w:val="000010000000" w:firstRow="0" w:lastRow="0" w:firstColumn="0" w:lastColumn="0" w:oddVBand="1" w:evenVBand="0" w:oddHBand="0" w:evenHBand="0" w:firstRowFirstColumn="0" w:firstRowLastColumn="0" w:lastRowFirstColumn="0" w:lastRowLastColumn="0"/>
            <w:tcW w:w="3686" w:type="dxa"/>
            <w:vAlign w:val="center"/>
          </w:tcPr>
          <w:p w14:paraId="533BC84C" w14:textId="77777777" w:rsidR="006B4C9D" w:rsidRPr="00326D45" w:rsidRDefault="006B4C9D" w:rsidP="000A1336">
            <w:pPr>
              <w:spacing w:after="0" w:line="240" w:lineRule="auto"/>
              <w:jc w:val="both"/>
            </w:pPr>
            <w:r>
              <w:t>Ušlý zisk a stálé náklady</w:t>
            </w:r>
          </w:p>
        </w:tc>
        <w:tc>
          <w:tcPr>
            <w:cnfStyle w:val="000001000000" w:firstRow="0" w:lastRow="0" w:firstColumn="0" w:lastColumn="0" w:oddVBand="0" w:evenVBand="1" w:oddHBand="0" w:evenHBand="0" w:firstRowFirstColumn="0" w:firstRowLastColumn="0" w:lastRowFirstColumn="0" w:lastRowLastColumn="0"/>
            <w:tcW w:w="2835" w:type="dxa"/>
            <w:vAlign w:val="center"/>
          </w:tcPr>
          <w:p w14:paraId="377FECDE" w14:textId="77777777" w:rsidR="006B4C9D" w:rsidRPr="00326D45" w:rsidRDefault="006B4C9D" w:rsidP="000A1336">
            <w:pPr>
              <w:spacing w:after="0" w:line="240" w:lineRule="auto"/>
              <w:jc w:val="center"/>
            </w:pPr>
            <w:r>
              <w:t>195 893 000</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1AED1A5" w14:textId="77777777" w:rsidR="006B4C9D" w:rsidRPr="00326D45" w:rsidRDefault="006B4C9D" w:rsidP="000A1336">
            <w:pPr>
              <w:spacing w:after="0" w:line="240" w:lineRule="auto"/>
              <w:jc w:val="right"/>
            </w:pPr>
            <w:r>
              <w:t>7</w:t>
            </w:r>
            <w:r w:rsidRPr="00326D45">
              <w:t xml:space="preserve"> dn</w:t>
            </w:r>
            <w:r>
              <w:t>í</w:t>
            </w:r>
            <w:r w:rsidRPr="00326D45">
              <w:t xml:space="preserve"> </w:t>
            </w:r>
          </w:p>
          <w:p w14:paraId="6AAD8E57" w14:textId="77777777" w:rsidR="006B4C9D" w:rsidRPr="00326D45" w:rsidRDefault="006B4C9D" w:rsidP="000A1336">
            <w:pPr>
              <w:spacing w:after="0" w:line="240" w:lineRule="auto"/>
              <w:jc w:val="right"/>
            </w:pPr>
            <w:r w:rsidRPr="00326D45">
              <w:t xml:space="preserve">min. </w:t>
            </w:r>
            <w:r>
              <w:t>1</w:t>
            </w:r>
            <w:r w:rsidRPr="00326D45">
              <w:t xml:space="preserve">00 000 Kč </w:t>
            </w:r>
          </w:p>
        </w:tc>
        <w:tc>
          <w:tcPr>
            <w:cnfStyle w:val="000001000000" w:firstRow="0" w:lastRow="0" w:firstColumn="0" w:lastColumn="0" w:oddVBand="0" w:evenVBand="1" w:oddHBand="0" w:evenHBand="0" w:firstRowFirstColumn="0" w:firstRowLastColumn="0" w:lastRowFirstColumn="0" w:lastRowLastColumn="0"/>
            <w:tcW w:w="1129" w:type="dxa"/>
            <w:vAlign w:val="center"/>
          </w:tcPr>
          <w:p w14:paraId="1F3A92EC" w14:textId="77777777" w:rsidR="006B4C9D" w:rsidRPr="00326D45" w:rsidRDefault="006B4C9D" w:rsidP="000A1336">
            <w:pPr>
              <w:spacing w:after="0" w:line="240" w:lineRule="auto"/>
              <w:jc w:val="right"/>
            </w:pPr>
            <w:r>
              <w:t>6</w:t>
            </w:r>
            <w:r w:rsidRPr="00326D45">
              <w:t xml:space="preserve"> měsíců </w:t>
            </w:r>
          </w:p>
        </w:tc>
      </w:tr>
      <w:tr w:rsidR="006B4C9D" w:rsidRPr="00326D45" w14:paraId="0F4E6582" w14:textId="77777777" w:rsidTr="000A1336">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3686" w:type="dxa"/>
            <w:vAlign w:val="center"/>
          </w:tcPr>
          <w:p w14:paraId="51F9B435" w14:textId="77777777" w:rsidR="006B4C9D" w:rsidRPr="001B1553" w:rsidRDefault="006B4C9D" w:rsidP="000A1336">
            <w:pPr>
              <w:spacing w:after="0" w:line="240" w:lineRule="auto"/>
              <w:jc w:val="both"/>
            </w:pPr>
            <w:r w:rsidRPr="005471DC">
              <w:t>Zvýšené provozní náklady</w:t>
            </w:r>
            <w:r>
              <w:t xml:space="preserve"> (dle ujednání níže)</w:t>
            </w:r>
          </w:p>
        </w:tc>
        <w:tc>
          <w:tcPr>
            <w:cnfStyle w:val="000001000000" w:firstRow="0" w:lastRow="0" w:firstColumn="0" w:lastColumn="0" w:oddVBand="0" w:evenVBand="1" w:oddHBand="0" w:evenHBand="0" w:firstRowFirstColumn="0" w:firstRowLastColumn="0" w:lastRowFirstColumn="0" w:lastRowLastColumn="0"/>
            <w:tcW w:w="2835" w:type="dxa"/>
            <w:vAlign w:val="center"/>
          </w:tcPr>
          <w:p w14:paraId="73832FC4" w14:textId="77777777" w:rsidR="006B4C9D" w:rsidRPr="001B1553" w:rsidRDefault="006B4C9D" w:rsidP="000A1336">
            <w:pPr>
              <w:spacing w:after="0" w:line="240" w:lineRule="auto"/>
              <w:jc w:val="center"/>
            </w:pPr>
            <w:r>
              <w:t>5</w:t>
            </w:r>
            <w:r w:rsidRPr="005471DC">
              <w:t xml:space="preserve"> 000 000</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0ACC5C3B" w14:textId="77777777" w:rsidR="006B4C9D" w:rsidRDefault="006B4C9D" w:rsidP="000A1336">
            <w:pPr>
              <w:spacing w:after="0" w:line="240" w:lineRule="auto"/>
              <w:jc w:val="right"/>
            </w:pPr>
            <w:r>
              <w:t xml:space="preserve">7 dní </w:t>
            </w:r>
          </w:p>
          <w:p w14:paraId="5CFAF7CF" w14:textId="77777777" w:rsidR="006B4C9D" w:rsidRPr="001B1553" w:rsidRDefault="006B4C9D" w:rsidP="000A1336">
            <w:pPr>
              <w:spacing w:after="0" w:line="240" w:lineRule="auto"/>
              <w:jc w:val="right"/>
            </w:pPr>
            <w:r>
              <w:t xml:space="preserve">min. 100 000 Kč </w:t>
            </w:r>
          </w:p>
        </w:tc>
        <w:tc>
          <w:tcPr>
            <w:cnfStyle w:val="000001000000" w:firstRow="0" w:lastRow="0" w:firstColumn="0" w:lastColumn="0" w:oddVBand="0" w:evenVBand="1" w:oddHBand="0" w:evenHBand="0" w:firstRowFirstColumn="0" w:firstRowLastColumn="0" w:lastRowFirstColumn="0" w:lastRowLastColumn="0"/>
            <w:tcW w:w="1129" w:type="dxa"/>
            <w:vAlign w:val="center"/>
          </w:tcPr>
          <w:p w14:paraId="230198C4" w14:textId="77777777" w:rsidR="006B4C9D" w:rsidRDefault="006B4C9D" w:rsidP="000A1336">
            <w:pPr>
              <w:spacing w:after="0" w:line="240" w:lineRule="auto"/>
              <w:jc w:val="right"/>
            </w:pPr>
            <w:r>
              <w:t>6 měsíců</w:t>
            </w:r>
          </w:p>
        </w:tc>
      </w:tr>
      <w:tr w:rsidR="006B4C9D" w:rsidRPr="00326D45" w14:paraId="371D3E51" w14:textId="77777777" w:rsidTr="000A1336">
        <w:trPr>
          <w:trHeight w:val="231"/>
        </w:trPr>
        <w:tc>
          <w:tcPr>
            <w:cnfStyle w:val="000010000000" w:firstRow="0" w:lastRow="0" w:firstColumn="0" w:lastColumn="0" w:oddVBand="1" w:evenVBand="0" w:oddHBand="0" w:evenHBand="0" w:firstRowFirstColumn="0" w:firstRowLastColumn="0" w:lastRowFirstColumn="0" w:lastRowLastColumn="0"/>
            <w:tcW w:w="3686" w:type="dxa"/>
            <w:vAlign w:val="center"/>
          </w:tcPr>
          <w:p w14:paraId="4D98D895" w14:textId="77777777" w:rsidR="006B4C9D" w:rsidRPr="001B1553" w:rsidRDefault="006B4C9D" w:rsidP="000A1336">
            <w:pPr>
              <w:spacing w:after="0" w:line="240" w:lineRule="auto"/>
              <w:jc w:val="both"/>
            </w:pPr>
            <w:r w:rsidRPr="005471DC">
              <w:t>Dodatečné vícenáklady (expresní příplatky, vícepráce, přesčasy, náhradní dodávky apod.)</w:t>
            </w:r>
          </w:p>
        </w:tc>
        <w:tc>
          <w:tcPr>
            <w:cnfStyle w:val="000001000000" w:firstRow="0" w:lastRow="0" w:firstColumn="0" w:lastColumn="0" w:oddVBand="0" w:evenVBand="1" w:oddHBand="0" w:evenHBand="0" w:firstRowFirstColumn="0" w:firstRowLastColumn="0" w:lastRowFirstColumn="0" w:lastRowLastColumn="0"/>
            <w:tcW w:w="2835" w:type="dxa"/>
            <w:vAlign w:val="center"/>
          </w:tcPr>
          <w:p w14:paraId="7BB9BA58" w14:textId="77777777" w:rsidR="006B4C9D" w:rsidRPr="001B1553" w:rsidRDefault="006B4C9D" w:rsidP="000A1336">
            <w:pPr>
              <w:spacing w:after="0" w:line="240" w:lineRule="auto"/>
              <w:jc w:val="center"/>
            </w:pPr>
            <w:r>
              <w:t>10</w:t>
            </w:r>
            <w:r w:rsidRPr="005471DC">
              <w:t xml:space="preserve"> 000 000</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F2EC997" w14:textId="77777777" w:rsidR="006B4C9D" w:rsidRDefault="006B4C9D" w:rsidP="000A1336">
            <w:pPr>
              <w:spacing w:after="0" w:line="240" w:lineRule="auto"/>
              <w:jc w:val="right"/>
            </w:pPr>
            <w:r>
              <w:t xml:space="preserve">7 dní </w:t>
            </w:r>
          </w:p>
          <w:p w14:paraId="60F87700" w14:textId="77777777" w:rsidR="006B4C9D" w:rsidRPr="001B1553" w:rsidRDefault="006B4C9D" w:rsidP="000A1336">
            <w:pPr>
              <w:spacing w:after="0" w:line="240" w:lineRule="auto"/>
              <w:jc w:val="right"/>
            </w:pPr>
            <w:r>
              <w:t>min. 100 000 Kč</w:t>
            </w:r>
          </w:p>
        </w:tc>
        <w:tc>
          <w:tcPr>
            <w:cnfStyle w:val="000001000000" w:firstRow="0" w:lastRow="0" w:firstColumn="0" w:lastColumn="0" w:oddVBand="0" w:evenVBand="1" w:oddHBand="0" w:evenHBand="0" w:firstRowFirstColumn="0" w:firstRowLastColumn="0" w:lastRowFirstColumn="0" w:lastRowLastColumn="0"/>
            <w:tcW w:w="1129" w:type="dxa"/>
            <w:vAlign w:val="center"/>
          </w:tcPr>
          <w:p w14:paraId="36FA3057" w14:textId="77777777" w:rsidR="006B4C9D" w:rsidRDefault="006B4C9D" w:rsidP="000A1336">
            <w:pPr>
              <w:spacing w:after="0" w:line="240" w:lineRule="auto"/>
              <w:jc w:val="right"/>
            </w:pPr>
            <w:r>
              <w:t>6 měsíců</w:t>
            </w:r>
          </w:p>
        </w:tc>
      </w:tr>
      <w:tr w:rsidR="006B4C9D" w:rsidRPr="00326D45" w14:paraId="43E6A3D1" w14:textId="77777777" w:rsidTr="000A1336">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3686" w:type="dxa"/>
            <w:shd w:val="clear" w:color="auto" w:fill="BDD6EE" w:themeFill="accent5" w:themeFillTint="66"/>
            <w:vAlign w:val="center"/>
          </w:tcPr>
          <w:p w14:paraId="77EC728D" w14:textId="77777777" w:rsidR="006B4C9D" w:rsidRPr="005471DC" w:rsidRDefault="006B4C9D" w:rsidP="000A1336">
            <w:pPr>
              <w:spacing w:after="0" w:line="240" w:lineRule="auto"/>
              <w:jc w:val="both"/>
            </w:pPr>
            <w:r w:rsidRPr="00326D45">
              <w:rPr>
                <w:b/>
                <w:bCs/>
              </w:rPr>
              <w:lastRenderedPageBreak/>
              <w:t>pojištěná nebezpečí</w:t>
            </w:r>
          </w:p>
        </w:tc>
        <w:tc>
          <w:tcPr>
            <w:cnfStyle w:val="000001000000" w:firstRow="0" w:lastRow="0" w:firstColumn="0" w:lastColumn="0" w:oddVBand="0" w:evenVBand="1" w:oddHBand="0" w:evenHBand="0" w:firstRowFirstColumn="0" w:firstRowLastColumn="0" w:lastRowFirstColumn="0" w:lastRowLastColumn="0"/>
            <w:tcW w:w="2835" w:type="dxa"/>
            <w:shd w:val="clear" w:color="auto" w:fill="BDD6EE" w:themeFill="accent5" w:themeFillTint="66"/>
            <w:vAlign w:val="center"/>
          </w:tcPr>
          <w:p w14:paraId="44F39637" w14:textId="77777777" w:rsidR="006B4C9D" w:rsidRPr="005471DC" w:rsidRDefault="006B4C9D" w:rsidP="000A1336">
            <w:pPr>
              <w:spacing w:after="0" w:line="240" w:lineRule="auto"/>
              <w:jc w:val="center"/>
            </w:pPr>
            <w:r w:rsidRPr="00326D45">
              <w:rPr>
                <w:b/>
                <w:bCs/>
              </w:rPr>
              <w:t>limit pojistného plnění</w:t>
            </w:r>
            <w:r>
              <w:rPr>
                <w:b/>
                <w:bCs/>
              </w:rPr>
              <w:t xml:space="preserve"> Kč</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BDD6EE" w:themeFill="accent5" w:themeFillTint="66"/>
            <w:vAlign w:val="center"/>
          </w:tcPr>
          <w:p w14:paraId="4FD693B9" w14:textId="77777777" w:rsidR="006B4C9D" w:rsidRPr="005471DC" w:rsidRDefault="006B4C9D" w:rsidP="000A1336">
            <w:pPr>
              <w:spacing w:after="0" w:line="240" w:lineRule="auto"/>
              <w:jc w:val="center"/>
            </w:pPr>
            <w:r w:rsidRPr="00326D45">
              <w:rPr>
                <w:b/>
                <w:bCs/>
              </w:rPr>
              <w:t>spoluúčast</w:t>
            </w:r>
          </w:p>
        </w:tc>
        <w:tc>
          <w:tcPr>
            <w:cnfStyle w:val="000001000000" w:firstRow="0" w:lastRow="0" w:firstColumn="0" w:lastColumn="0" w:oddVBand="0" w:evenVBand="1" w:oddHBand="0" w:evenHBand="0" w:firstRowFirstColumn="0" w:firstRowLastColumn="0" w:lastRowFirstColumn="0" w:lastRowLastColumn="0"/>
            <w:tcW w:w="1129" w:type="dxa"/>
            <w:shd w:val="clear" w:color="auto" w:fill="BDD6EE" w:themeFill="accent5" w:themeFillTint="66"/>
            <w:vAlign w:val="center"/>
          </w:tcPr>
          <w:p w14:paraId="75EDEE94" w14:textId="77777777" w:rsidR="006B4C9D" w:rsidRDefault="006B4C9D" w:rsidP="000A1336">
            <w:pPr>
              <w:spacing w:after="0" w:line="240" w:lineRule="auto"/>
              <w:jc w:val="right"/>
            </w:pPr>
            <w:r w:rsidRPr="00326D45">
              <w:rPr>
                <w:b/>
                <w:bCs/>
              </w:rPr>
              <w:t>doba ručení</w:t>
            </w:r>
          </w:p>
        </w:tc>
      </w:tr>
      <w:tr w:rsidR="006B4C9D" w:rsidRPr="00326D45" w14:paraId="13184A80" w14:textId="77777777" w:rsidTr="000A1336">
        <w:trPr>
          <w:trHeight w:val="231"/>
        </w:trPr>
        <w:tc>
          <w:tcPr>
            <w:cnfStyle w:val="000010000000" w:firstRow="0" w:lastRow="0" w:firstColumn="0" w:lastColumn="0" w:oddVBand="1" w:evenVBand="0" w:oddHBand="0" w:evenHBand="0" w:firstRowFirstColumn="0" w:firstRowLastColumn="0" w:lastRowFirstColumn="0" w:lastRowLastColumn="0"/>
            <w:tcW w:w="3686" w:type="dxa"/>
            <w:vAlign w:val="center"/>
          </w:tcPr>
          <w:p w14:paraId="0227731A" w14:textId="77777777" w:rsidR="006B4C9D" w:rsidRPr="005471DC" w:rsidRDefault="006B4C9D" w:rsidP="000A1336">
            <w:pPr>
              <w:spacing w:after="0" w:line="240" w:lineRule="auto"/>
              <w:jc w:val="both"/>
            </w:pPr>
            <w:proofErr w:type="spellStart"/>
            <w:r>
              <w:t>Flexa</w:t>
            </w:r>
            <w:proofErr w:type="spellEnd"/>
          </w:p>
        </w:tc>
        <w:tc>
          <w:tcPr>
            <w:cnfStyle w:val="000001000000" w:firstRow="0" w:lastRow="0" w:firstColumn="0" w:lastColumn="0" w:oddVBand="0" w:evenVBand="1" w:oddHBand="0" w:evenHBand="0" w:firstRowFirstColumn="0" w:firstRowLastColumn="0" w:lastRowFirstColumn="0" w:lastRowLastColumn="0"/>
            <w:tcW w:w="2835" w:type="dxa"/>
            <w:vAlign w:val="center"/>
          </w:tcPr>
          <w:p w14:paraId="3E776EAF" w14:textId="77777777" w:rsidR="006B4C9D" w:rsidRPr="005471DC" w:rsidRDefault="006B4C9D" w:rsidP="000A1336">
            <w:pPr>
              <w:spacing w:after="0" w:line="240" w:lineRule="auto"/>
              <w:jc w:val="center"/>
            </w:pPr>
            <w:r>
              <w:t>Do výše pojistné částky</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06DDF8EF" w14:textId="77777777" w:rsidR="006B4C9D" w:rsidRDefault="006B4C9D" w:rsidP="000A1336">
            <w:pPr>
              <w:spacing w:after="0" w:line="240" w:lineRule="auto"/>
              <w:jc w:val="right"/>
            </w:pPr>
            <w:r>
              <w:t xml:space="preserve">7 dní </w:t>
            </w:r>
          </w:p>
          <w:p w14:paraId="0CA3ACA3" w14:textId="77777777" w:rsidR="006B4C9D" w:rsidRPr="005471DC" w:rsidRDefault="006B4C9D" w:rsidP="000A1336">
            <w:pPr>
              <w:spacing w:after="0" w:line="240" w:lineRule="auto"/>
              <w:jc w:val="right"/>
            </w:pPr>
            <w:r>
              <w:t>min. 100 000 Kč</w:t>
            </w:r>
          </w:p>
        </w:tc>
        <w:tc>
          <w:tcPr>
            <w:cnfStyle w:val="000001000000" w:firstRow="0" w:lastRow="0" w:firstColumn="0" w:lastColumn="0" w:oddVBand="0" w:evenVBand="1" w:oddHBand="0" w:evenHBand="0" w:firstRowFirstColumn="0" w:firstRowLastColumn="0" w:lastRowFirstColumn="0" w:lastRowLastColumn="0"/>
            <w:tcW w:w="1129" w:type="dxa"/>
            <w:vAlign w:val="center"/>
          </w:tcPr>
          <w:p w14:paraId="7E22AB73" w14:textId="77777777" w:rsidR="006B4C9D" w:rsidRDefault="006B4C9D" w:rsidP="000A1336">
            <w:pPr>
              <w:spacing w:after="0" w:line="240" w:lineRule="auto"/>
              <w:jc w:val="right"/>
            </w:pPr>
            <w:r w:rsidRPr="004067D3">
              <w:t>6 měsíců</w:t>
            </w:r>
          </w:p>
        </w:tc>
      </w:tr>
      <w:tr w:rsidR="006B4C9D" w:rsidRPr="00326D45" w14:paraId="1E17FBB0" w14:textId="77777777" w:rsidTr="000A1336">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3686" w:type="dxa"/>
            <w:vAlign w:val="center"/>
          </w:tcPr>
          <w:p w14:paraId="25EEBD62" w14:textId="77777777" w:rsidR="006B4C9D" w:rsidRPr="001B1553" w:rsidRDefault="006B4C9D" w:rsidP="000A1336">
            <w:pPr>
              <w:spacing w:after="0" w:line="240" w:lineRule="auto"/>
              <w:jc w:val="both"/>
            </w:pPr>
            <w:r>
              <w:t xml:space="preserve">Pojištěná živelní nebezpečí (mimo </w:t>
            </w:r>
            <w:proofErr w:type="spellStart"/>
            <w:r>
              <w:t>Flexa</w:t>
            </w:r>
            <w:proofErr w:type="spellEnd"/>
            <w:r>
              <w:t>)</w:t>
            </w:r>
            <w:r w:rsidRPr="005471DC">
              <w:t xml:space="preserve"> </w:t>
            </w:r>
          </w:p>
        </w:tc>
        <w:tc>
          <w:tcPr>
            <w:cnfStyle w:val="000001000000" w:firstRow="0" w:lastRow="0" w:firstColumn="0" w:lastColumn="0" w:oddVBand="0" w:evenVBand="1" w:oddHBand="0" w:evenHBand="0" w:firstRowFirstColumn="0" w:firstRowLastColumn="0" w:lastRowFirstColumn="0" w:lastRowLastColumn="0"/>
            <w:tcW w:w="2835" w:type="dxa"/>
            <w:vAlign w:val="center"/>
          </w:tcPr>
          <w:p w14:paraId="52E42ADF" w14:textId="77777777" w:rsidR="006B4C9D" w:rsidRPr="001B1553" w:rsidRDefault="006B4C9D" w:rsidP="000A1336">
            <w:pPr>
              <w:spacing w:after="0" w:line="240" w:lineRule="auto"/>
              <w:jc w:val="center"/>
            </w:pPr>
            <w:r>
              <w:t>Do výše limitu živelného pojištění pro škodu na věci</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64D97CA" w14:textId="77777777" w:rsidR="006B4C9D" w:rsidRDefault="006B4C9D" w:rsidP="000A1336">
            <w:pPr>
              <w:spacing w:after="0" w:line="240" w:lineRule="auto"/>
              <w:jc w:val="right"/>
            </w:pPr>
            <w:r>
              <w:t xml:space="preserve">7 dní </w:t>
            </w:r>
          </w:p>
          <w:p w14:paraId="39C4CDA4" w14:textId="77777777" w:rsidR="006B4C9D" w:rsidRPr="001B1553" w:rsidRDefault="006B4C9D" w:rsidP="000A1336">
            <w:pPr>
              <w:spacing w:after="0" w:line="240" w:lineRule="auto"/>
              <w:jc w:val="right"/>
            </w:pPr>
            <w:r>
              <w:t>min. 100 000 Kč</w:t>
            </w:r>
            <w:r w:rsidRPr="005471DC">
              <w:t xml:space="preserve"> </w:t>
            </w:r>
          </w:p>
        </w:tc>
        <w:tc>
          <w:tcPr>
            <w:cnfStyle w:val="000001000000" w:firstRow="0" w:lastRow="0" w:firstColumn="0" w:lastColumn="0" w:oddVBand="0" w:evenVBand="1" w:oddHBand="0" w:evenHBand="0" w:firstRowFirstColumn="0" w:firstRowLastColumn="0" w:lastRowFirstColumn="0" w:lastRowLastColumn="0"/>
            <w:tcW w:w="1129" w:type="dxa"/>
            <w:vAlign w:val="center"/>
          </w:tcPr>
          <w:p w14:paraId="4E11DB54" w14:textId="77777777" w:rsidR="006B4C9D" w:rsidRDefault="006B4C9D" w:rsidP="000A1336">
            <w:pPr>
              <w:spacing w:after="0" w:line="240" w:lineRule="auto"/>
              <w:jc w:val="right"/>
            </w:pPr>
            <w:r w:rsidRPr="004067D3">
              <w:t>6 měsíců</w:t>
            </w:r>
          </w:p>
        </w:tc>
      </w:tr>
      <w:tr w:rsidR="006B4C9D" w:rsidRPr="00326D45" w14:paraId="3AF32091" w14:textId="77777777" w:rsidTr="000A1336">
        <w:trPr>
          <w:trHeight w:val="488"/>
        </w:trPr>
        <w:tc>
          <w:tcPr>
            <w:cnfStyle w:val="000010000000" w:firstRow="0" w:lastRow="0" w:firstColumn="0" w:lastColumn="0" w:oddVBand="1" w:evenVBand="0" w:oddHBand="0" w:evenHBand="0" w:firstRowFirstColumn="0" w:firstRowLastColumn="0" w:lastRowFirstColumn="0" w:lastRowLastColumn="0"/>
            <w:tcW w:w="3686" w:type="dxa"/>
            <w:vAlign w:val="center"/>
          </w:tcPr>
          <w:p w14:paraId="191F3E12" w14:textId="77777777" w:rsidR="006B4C9D" w:rsidRDefault="006B4C9D" w:rsidP="000A1336">
            <w:pPr>
              <w:spacing w:after="0" w:line="240" w:lineRule="auto"/>
              <w:jc w:val="both"/>
            </w:pPr>
            <w:r>
              <w:t>Dodavatel médií (dle ujednání níže)</w:t>
            </w:r>
          </w:p>
        </w:tc>
        <w:tc>
          <w:tcPr>
            <w:cnfStyle w:val="000001000000" w:firstRow="0" w:lastRow="0" w:firstColumn="0" w:lastColumn="0" w:oddVBand="0" w:evenVBand="1" w:oddHBand="0" w:evenHBand="0" w:firstRowFirstColumn="0" w:firstRowLastColumn="0" w:lastRowFirstColumn="0" w:lastRowLastColumn="0"/>
            <w:tcW w:w="2835" w:type="dxa"/>
            <w:vAlign w:val="center"/>
          </w:tcPr>
          <w:p w14:paraId="5E9CF5AE" w14:textId="77777777" w:rsidR="006B4C9D" w:rsidRDefault="006B4C9D" w:rsidP="000A1336">
            <w:pPr>
              <w:spacing w:after="0" w:line="240" w:lineRule="auto"/>
              <w:jc w:val="center"/>
            </w:pPr>
            <w:r>
              <w:t>10 000 000</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689F671" w14:textId="77777777" w:rsidR="006B4C9D" w:rsidRDefault="006B4C9D" w:rsidP="000A1336">
            <w:pPr>
              <w:spacing w:after="0" w:line="240" w:lineRule="auto"/>
              <w:jc w:val="right"/>
            </w:pPr>
            <w:r>
              <w:t xml:space="preserve">7 dní </w:t>
            </w:r>
          </w:p>
          <w:p w14:paraId="35C02BE9" w14:textId="77777777" w:rsidR="006B4C9D" w:rsidRDefault="006B4C9D" w:rsidP="000A1336">
            <w:pPr>
              <w:spacing w:after="0" w:line="240" w:lineRule="auto"/>
              <w:jc w:val="right"/>
            </w:pPr>
            <w:r>
              <w:t>min. 100 000 Kč</w:t>
            </w:r>
          </w:p>
        </w:tc>
        <w:tc>
          <w:tcPr>
            <w:cnfStyle w:val="000001000000" w:firstRow="0" w:lastRow="0" w:firstColumn="0" w:lastColumn="0" w:oddVBand="0" w:evenVBand="1" w:oddHBand="0" w:evenHBand="0" w:firstRowFirstColumn="0" w:firstRowLastColumn="0" w:lastRowFirstColumn="0" w:lastRowLastColumn="0"/>
            <w:tcW w:w="1129" w:type="dxa"/>
            <w:vAlign w:val="center"/>
          </w:tcPr>
          <w:p w14:paraId="286161D6" w14:textId="77777777" w:rsidR="006B4C9D" w:rsidRPr="004067D3" w:rsidRDefault="006B4C9D" w:rsidP="000A1336">
            <w:pPr>
              <w:spacing w:after="0" w:line="240" w:lineRule="auto"/>
              <w:jc w:val="right"/>
            </w:pPr>
            <w:r>
              <w:t>6 měsíců</w:t>
            </w:r>
          </w:p>
        </w:tc>
      </w:tr>
    </w:tbl>
    <w:p w14:paraId="1C351BA4" w14:textId="77777777" w:rsidR="006B4C9D" w:rsidRDefault="006B4C9D" w:rsidP="006B4C9D">
      <w:pPr>
        <w:spacing w:after="0" w:line="240" w:lineRule="auto"/>
        <w:jc w:val="both"/>
      </w:pPr>
    </w:p>
    <w:p w14:paraId="01CEFB89" w14:textId="77777777" w:rsidR="00C369DA" w:rsidRDefault="00C369DA" w:rsidP="00C369DA">
      <w:pPr>
        <w:spacing w:after="0" w:line="240" w:lineRule="auto"/>
        <w:jc w:val="both"/>
        <w:rPr>
          <w:b/>
        </w:rPr>
      </w:pPr>
    </w:p>
    <w:p w14:paraId="26A8CE41" w14:textId="77777777" w:rsidR="00A46E9D" w:rsidRDefault="00A46E9D" w:rsidP="00C369DA">
      <w:pPr>
        <w:spacing w:after="0" w:line="240" w:lineRule="auto"/>
        <w:jc w:val="both"/>
        <w:rPr>
          <w:b/>
        </w:rPr>
      </w:pPr>
    </w:p>
    <w:p w14:paraId="7831DA42" w14:textId="77777777" w:rsidR="00A46E9D" w:rsidRPr="00991D25" w:rsidRDefault="00A46E9D" w:rsidP="00C369DA">
      <w:pPr>
        <w:spacing w:after="0" w:line="240" w:lineRule="auto"/>
        <w:jc w:val="both"/>
        <w:rPr>
          <w:b/>
        </w:rPr>
      </w:pPr>
    </w:p>
    <w:p w14:paraId="7C946C6A" w14:textId="77777777" w:rsidR="00C369DA" w:rsidRPr="00FC08D2" w:rsidRDefault="00C369DA" w:rsidP="00C369DA">
      <w:pPr>
        <w:shd w:val="clear" w:color="auto" w:fill="F7CAAC" w:themeFill="accent2" w:themeFillTint="66"/>
        <w:spacing w:after="0" w:line="240" w:lineRule="auto"/>
        <w:jc w:val="both"/>
        <w:rPr>
          <w:b/>
        </w:rPr>
      </w:pPr>
      <w:r>
        <w:rPr>
          <w:b/>
        </w:rPr>
        <w:t>6</w:t>
      </w:r>
      <w:r w:rsidRPr="00275895">
        <w:rPr>
          <w:b/>
        </w:rPr>
        <w:t xml:space="preserve">. Pojištění </w:t>
      </w:r>
      <w:r>
        <w:rPr>
          <w:b/>
        </w:rPr>
        <w:t>přepravovaného nákladu</w:t>
      </w:r>
      <w:r w:rsidRPr="00275895">
        <w:rPr>
          <w:b/>
        </w:rPr>
        <w:t xml:space="preserve"> </w:t>
      </w:r>
      <w:r w:rsidRPr="00FC08D2">
        <w:rPr>
          <w:b/>
        </w:rPr>
        <w:t xml:space="preserve"> </w:t>
      </w:r>
    </w:p>
    <w:p w14:paraId="651020CF" w14:textId="77777777" w:rsidR="00C369DA" w:rsidRPr="00FC08D2" w:rsidRDefault="00C369DA" w:rsidP="00C369DA">
      <w:pPr>
        <w:spacing w:after="0" w:line="240" w:lineRule="auto"/>
        <w:jc w:val="both"/>
      </w:pPr>
    </w:p>
    <w:p w14:paraId="36C7912C" w14:textId="77777777" w:rsidR="00C369DA" w:rsidRPr="00FC08D2" w:rsidRDefault="00C369DA" w:rsidP="00C369DA">
      <w:pPr>
        <w:spacing w:after="0" w:line="240" w:lineRule="auto"/>
        <w:jc w:val="both"/>
      </w:pPr>
      <w:r w:rsidRPr="00FC08D2">
        <w:rPr>
          <w:b/>
        </w:rPr>
        <w:t>Pojistné riziko:</w:t>
      </w:r>
      <w:r>
        <w:t xml:space="preserve"> Poškození přepravované věci při přepravě na vlastní vrub vlastními nebo cizími vozidly.</w:t>
      </w:r>
    </w:p>
    <w:p w14:paraId="21191503" w14:textId="77777777" w:rsidR="00C369DA" w:rsidRPr="00FC08D2" w:rsidRDefault="00C369DA" w:rsidP="00C369DA">
      <w:pPr>
        <w:spacing w:after="0" w:line="240" w:lineRule="auto"/>
        <w:jc w:val="both"/>
      </w:pPr>
    </w:p>
    <w:p w14:paraId="5A47C744" w14:textId="428B4C71" w:rsidR="00C369DA" w:rsidRPr="00FC08D2" w:rsidRDefault="00536386" w:rsidP="00C369DA">
      <w:pPr>
        <w:spacing w:after="0" w:line="240" w:lineRule="auto"/>
        <w:jc w:val="both"/>
        <w:rPr>
          <w:b/>
        </w:rPr>
      </w:pPr>
      <w:r>
        <w:rPr>
          <w:b/>
        </w:rPr>
        <w:t xml:space="preserve">Předmět pojištění: </w:t>
      </w:r>
      <w:proofErr w:type="gramStart"/>
      <w:r>
        <w:rPr>
          <w:b/>
        </w:rPr>
        <w:t xml:space="preserve">- </w:t>
      </w:r>
      <w:r w:rsidR="00C369DA" w:rsidRPr="00FC08D2">
        <w:rPr>
          <w:b/>
        </w:rPr>
        <w:t xml:space="preserve"> Soubor</w:t>
      </w:r>
      <w:proofErr w:type="gramEnd"/>
      <w:r w:rsidR="00C369DA" w:rsidRPr="00FC08D2">
        <w:rPr>
          <w:b/>
        </w:rPr>
        <w:t xml:space="preserve"> vlastní</w:t>
      </w:r>
      <w:r w:rsidR="00C369DA">
        <w:rPr>
          <w:b/>
        </w:rPr>
        <w:t>ch a cizích věcí</w:t>
      </w:r>
      <w:r w:rsidR="005E3796">
        <w:rPr>
          <w:b/>
        </w:rPr>
        <w:t xml:space="preserve"> (mimo cenností)</w:t>
      </w:r>
    </w:p>
    <w:p w14:paraId="0EB457DE" w14:textId="77777777" w:rsidR="00C369DA" w:rsidRPr="00FC08D2" w:rsidRDefault="00C369DA" w:rsidP="00C369DA">
      <w:pPr>
        <w:spacing w:after="0" w:line="240" w:lineRule="auto"/>
        <w:rPr>
          <w:b/>
          <w:color w:val="FF0000"/>
          <w:u w:val="single"/>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1701"/>
        <w:gridCol w:w="2579"/>
        <w:gridCol w:w="2408"/>
      </w:tblGrid>
      <w:tr w:rsidR="00C369DA" w:rsidRPr="00275895" w14:paraId="1CFD54F1" w14:textId="77777777" w:rsidTr="000A1336">
        <w:trPr>
          <w:trHeight w:val="454"/>
        </w:trPr>
        <w:tc>
          <w:tcPr>
            <w:tcW w:w="1312" w:type="pct"/>
            <w:shd w:val="clear" w:color="auto" w:fill="BDD6EE" w:themeFill="accent5" w:themeFillTint="66"/>
          </w:tcPr>
          <w:p w14:paraId="379BA329" w14:textId="77777777" w:rsidR="00C369DA" w:rsidRPr="00FC08D2" w:rsidRDefault="00C369DA" w:rsidP="000A1336">
            <w:pPr>
              <w:spacing w:after="0" w:line="240" w:lineRule="auto"/>
              <w:jc w:val="center"/>
              <w:rPr>
                <w:b/>
              </w:rPr>
            </w:pPr>
            <w:r>
              <w:rPr>
                <w:b/>
              </w:rPr>
              <w:t>Pojistná částka</w:t>
            </w:r>
          </w:p>
        </w:tc>
        <w:tc>
          <w:tcPr>
            <w:tcW w:w="938" w:type="pct"/>
            <w:shd w:val="clear" w:color="auto" w:fill="BDD6EE" w:themeFill="accent5" w:themeFillTint="66"/>
          </w:tcPr>
          <w:p w14:paraId="68CF289E" w14:textId="77777777" w:rsidR="00C369DA" w:rsidRPr="00FC08D2" w:rsidRDefault="00C369DA" w:rsidP="000A1336">
            <w:pPr>
              <w:spacing w:after="0" w:line="240" w:lineRule="auto"/>
              <w:jc w:val="center"/>
              <w:rPr>
                <w:b/>
              </w:rPr>
            </w:pPr>
            <w:r w:rsidRPr="00FC08D2">
              <w:rPr>
                <w:b/>
              </w:rPr>
              <w:t>Spoluúčast</w:t>
            </w:r>
          </w:p>
        </w:tc>
        <w:tc>
          <w:tcPr>
            <w:tcW w:w="1422" w:type="pct"/>
            <w:shd w:val="clear" w:color="auto" w:fill="BDD6EE" w:themeFill="accent5" w:themeFillTint="66"/>
          </w:tcPr>
          <w:p w14:paraId="6E563599" w14:textId="77777777" w:rsidR="00C369DA" w:rsidRPr="00FC08D2" w:rsidRDefault="00C369DA" w:rsidP="000A1336">
            <w:pPr>
              <w:spacing w:after="0" w:line="240" w:lineRule="auto"/>
              <w:jc w:val="center"/>
              <w:rPr>
                <w:b/>
              </w:rPr>
            </w:pPr>
            <w:r w:rsidRPr="00FC08D2">
              <w:rPr>
                <w:b/>
              </w:rPr>
              <w:t>Pojistná hodnota</w:t>
            </w:r>
          </w:p>
        </w:tc>
        <w:tc>
          <w:tcPr>
            <w:tcW w:w="1328" w:type="pct"/>
            <w:shd w:val="clear" w:color="auto" w:fill="BDD6EE" w:themeFill="accent5" w:themeFillTint="66"/>
          </w:tcPr>
          <w:p w14:paraId="7C53269D" w14:textId="77777777" w:rsidR="00C369DA" w:rsidRPr="00FC08D2" w:rsidRDefault="00C369DA" w:rsidP="000A1336">
            <w:pPr>
              <w:spacing w:after="0" w:line="240" w:lineRule="auto"/>
              <w:jc w:val="center"/>
              <w:rPr>
                <w:b/>
              </w:rPr>
            </w:pPr>
            <w:r>
              <w:rPr>
                <w:b/>
              </w:rPr>
              <w:t>Územní platnost</w:t>
            </w:r>
          </w:p>
        </w:tc>
      </w:tr>
      <w:tr w:rsidR="00C369DA" w:rsidRPr="00FC08D2" w14:paraId="0FFA7639" w14:textId="77777777" w:rsidTr="000A1336">
        <w:trPr>
          <w:trHeight w:val="265"/>
        </w:trPr>
        <w:tc>
          <w:tcPr>
            <w:tcW w:w="1312" w:type="pct"/>
            <w:vAlign w:val="center"/>
          </w:tcPr>
          <w:p w14:paraId="3DB0576D" w14:textId="77777777" w:rsidR="00C369DA" w:rsidRPr="00B40548" w:rsidRDefault="00C369DA" w:rsidP="000A1336">
            <w:pPr>
              <w:spacing w:after="0" w:line="240" w:lineRule="auto"/>
              <w:jc w:val="center"/>
            </w:pPr>
            <w:r>
              <w:t>30</w:t>
            </w:r>
            <w:r w:rsidRPr="00FE1290">
              <w:t>0.000 Kč</w:t>
            </w:r>
            <w:r>
              <w:t xml:space="preserve"> na 1. riziko</w:t>
            </w:r>
          </w:p>
        </w:tc>
        <w:tc>
          <w:tcPr>
            <w:tcW w:w="938" w:type="pct"/>
            <w:vAlign w:val="center"/>
          </w:tcPr>
          <w:p w14:paraId="3116BB14" w14:textId="77777777" w:rsidR="00C369DA" w:rsidRPr="00B40548" w:rsidRDefault="00C369DA" w:rsidP="000A1336">
            <w:pPr>
              <w:spacing w:after="0" w:line="240" w:lineRule="auto"/>
              <w:jc w:val="center"/>
            </w:pPr>
            <w:r>
              <w:t>5</w:t>
            </w:r>
            <w:r w:rsidRPr="00B40548">
              <w:t xml:space="preserve"> 000 Kč</w:t>
            </w:r>
          </w:p>
        </w:tc>
        <w:tc>
          <w:tcPr>
            <w:tcW w:w="1422" w:type="pct"/>
            <w:vAlign w:val="center"/>
          </w:tcPr>
          <w:p w14:paraId="5013B6DF" w14:textId="77777777" w:rsidR="00C369DA" w:rsidRPr="00FC08D2" w:rsidRDefault="00C369DA" w:rsidP="000A1336">
            <w:pPr>
              <w:spacing w:after="0" w:line="240" w:lineRule="auto"/>
              <w:jc w:val="center"/>
            </w:pPr>
            <w:r>
              <w:t>Nová cena</w:t>
            </w:r>
          </w:p>
        </w:tc>
        <w:tc>
          <w:tcPr>
            <w:tcW w:w="1328" w:type="pct"/>
            <w:vAlign w:val="center"/>
          </w:tcPr>
          <w:p w14:paraId="1F5B633A" w14:textId="77777777" w:rsidR="00C369DA" w:rsidRDefault="00C369DA" w:rsidP="000A1336">
            <w:pPr>
              <w:spacing w:after="0" w:line="240" w:lineRule="auto"/>
              <w:jc w:val="center"/>
            </w:pPr>
            <w:r>
              <w:t>ČR</w:t>
            </w:r>
          </w:p>
        </w:tc>
      </w:tr>
    </w:tbl>
    <w:p w14:paraId="16962D7E" w14:textId="77777777" w:rsidR="00C369DA" w:rsidRDefault="00C369DA" w:rsidP="00C369DA">
      <w:pPr>
        <w:spacing w:after="0" w:line="240" w:lineRule="auto"/>
        <w:rPr>
          <w:b/>
        </w:rPr>
      </w:pPr>
    </w:p>
    <w:p w14:paraId="1A5C0AE0" w14:textId="77777777" w:rsidR="00C369DA" w:rsidRDefault="00C369DA" w:rsidP="00C369DA">
      <w:pPr>
        <w:spacing w:after="0" w:line="240" w:lineRule="auto"/>
        <w:rPr>
          <w:b/>
        </w:rPr>
      </w:pPr>
    </w:p>
    <w:p w14:paraId="2ADDB3FE" w14:textId="77777777" w:rsidR="005E3796" w:rsidRDefault="005E3796" w:rsidP="00C369DA">
      <w:pPr>
        <w:spacing w:after="0" w:line="240" w:lineRule="auto"/>
        <w:rPr>
          <w:b/>
        </w:rPr>
      </w:pPr>
    </w:p>
    <w:p w14:paraId="200FA6C1" w14:textId="77777777" w:rsidR="005E3796" w:rsidRPr="005E3796" w:rsidRDefault="005E3796" w:rsidP="005E3796">
      <w:pPr>
        <w:spacing w:after="0" w:line="240" w:lineRule="auto"/>
        <w:rPr>
          <w:b/>
        </w:rPr>
      </w:pPr>
    </w:p>
    <w:p w14:paraId="6CE3BE72" w14:textId="353FD50E" w:rsidR="005E3796" w:rsidRDefault="005E3796" w:rsidP="005E3796">
      <w:pPr>
        <w:shd w:val="clear" w:color="auto" w:fill="F7CAAC" w:themeFill="accent2" w:themeFillTint="66"/>
        <w:spacing w:after="0" w:line="240" w:lineRule="auto"/>
        <w:jc w:val="both"/>
        <w:rPr>
          <w:b/>
        </w:rPr>
      </w:pPr>
      <w:r w:rsidRPr="005E3796">
        <w:rPr>
          <w:b/>
        </w:rPr>
        <w:t>7. Smluvní ujednání</w:t>
      </w:r>
    </w:p>
    <w:p w14:paraId="151AC741" w14:textId="77777777" w:rsidR="000E753A" w:rsidRPr="00FC08D2" w:rsidRDefault="000E753A" w:rsidP="0077758E">
      <w:pPr>
        <w:pStyle w:val="Bezmezer"/>
        <w:jc w:val="both"/>
        <w:rPr>
          <w:b/>
        </w:rPr>
      </w:pPr>
    </w:p>
    <w:p w14:paraId="70084E3B" w14:textId="0DA39821" w:rsidR="002034E6" w:rsidRPr="00FC08D2" w:rsidRDefault="005E3796" w:rsidP="00275895">
      <w:pPr>
        <w:shd w:val="clear" w:color="auto" w:fill="FFFFFF" w:themeFill="background1"/>
        <w:spacing w:after="0" w:line="240" w:lineRule="auto"/>
        <w:jc w:val="both"/>
        <w:rPr>
          <w:b/>
        </w:rPr>
      </w:pPr>
      <w:r>
        <w:rPr>
          <w:b/>
        </w:rPr>
        <w:t>7</w:t>
      </w:r>
      <w:r w:rsidR="002034E6" w:rsidRPr="00275895">
        <w:rPr>
          <w:b/>
        </w:rPr>
        <w:t>.</w:t>
      </w:r>
      <w:r>
        <w:rPr>
          <w:b/>
        </w:rPr>
        <w:t>1</w:t>
      </w:r>
      <w:r w:rsidR="002034E6" w:rsidRPr="00275895">
        <w:rPr>
          <w:b/>
        </w:rPr>
        <w:t xml:space="preserve">. Smluvní </w:t>
      </w:r>
      <w:proofErr w:type="gramStart"/>
      <w:r w:rsidR="002034E6" w:rsidRPr="00275895">
        <w:rPr>
          <w:b/>
        </w:rPr>
        <w:t>ujednání</w:t>
      </w:r>
      <w:r w:rsidR="002034E6" w:rsidRPr="00FC08D2">
        <w:rPr>
          <w:b/>
        </w:rPr>
        <w:t xml:space="preserve"> </w:t>
      </w:r>
      <w:r>
        <w:rPr>
          <w:b/>
        </w:rPr>
        <w:t xml:space="preserve"> k</w:t>
      </w:r>
      <w:proofErr w:type="gramEnd"/>
      <w:r>
        <w:rPr>
          <w:b/>
        </w:rPr>
        <w:t> živelnému pojištění</w:t>
      </w:r>
    </w:p>
    <w:p w14:paraId="748BF7FC" w14:textId="77777777" w:rsidR="00FB7554" w:rsidRPr="00FC08D2" w:rsidRDefault="00FB7554" w:rsidP="0077758E">
      <w:pPr>
        <w:spacing w:after="0" w:line="240" w:lineRule="auto"/>
        <w:jc w:val="both"/>
      </w:pPr>
    </w:p>
    <w:p w14:paraId="15D5BAF4" w14:textId="34CD08D2" w:rsidR="002034E6" w:rsidRDefault="002034E6" w:rsidP="003719AA">
      <w:pPr>
        <w:numPr>
          <w:ilvl w:val="0"/>
          <w:numId w:val="1"/>
        </w:numPr>
        <w:spacing w:after="0" w:line="240" w:lineRule="auto"/>
        <w:jc w:val="both"/>
      </w:pPr>
      <w:r w:rsidRPr="00E87415">
        <w:t xml:space="preserve">Pojištění zahrnuje i pojištění nákladů na </w:t>
      </w:r>
      <w:r w:rsidR="00B942C6" w:rsidRPr="00E87415">
        <w:t xml:space="preserve">hašení, </w:t>
      </w:r>
      <w:r w:rsidRPr="00E87415">
        <w:t>demolici,</w:t>
      </w:r>
      <w:r w:rsidR="00B942C6" w:rsidRPr="00E87415">
        <w:t xml:space="preserve"> vyklizení a</w:t>
      </w:r>
      <w:r w:rsidRPr="00E87415">
        <w:t xml:space="preserve"> odvoz suti, náklady na obnovení výrobní a provozní dokumentace, likvidaci zbytků a následků pojistné události, </w:t>
      </w:r>
      <w:r w:rsidR="00B942C6" w:rsidRPr="00E87415">
        <w:t>včetně dočasného přemístění</w:t>
      </w:r>
      <w:r w:rsidR="00814F3E" w:rsidRPr="00E87415">
        <w:t xml:space="preserve"> </w:t>
      </w:r>
      <w:r w:rsidR="00814F3E" w:rsidRPr="001768E0">
        <w:t>(včetně úhrady za platbu skladného takto pojištěných věcí)</w:t>
      </w:r>
      <w:r w:rsidR="00B942C6" w:rsidRPr="00E87415">
        <w:t xml:space="preserve"> </w:t>
      </w:r>
      <w:r w:rsidRPr="00006133">
        <w:t xml:space="preserve">Limit pojistného plnění </w:t>
      </w:r>
      <w:r w:rsidR="006E14CE" w:rsidRPr="00C90EF1">
        <w:rPr>
          <w:b/>
          <w:bCs/>
        </w:rPr>
        <w:t>10</w:t>
      </w:r>
      <w:r w:rsidR="00085FA2" w:rsidRPr="00C90EF1">
        <w:rPr>
          <w:b/>
          <w:bCs/>
        </w:rPr>
        <w:t> 000 000</w:t>
      </w:r>
      <w:r w:rsidRPr="00C90EF1">
        <w:rPr>
          <w:b/>
          <w:bCs/>
        </w:rPr>
        <w:t xml:space="preserve"> Kč</w:t>
      </w:r>
      <w:r w:rsidR="00C90EF1">
        <w:t xml:space="preserve">, pojištění se sjednává </w:t>
      </w:r>
      <w:r w:rsidRPr="00006133">
        <w:t>na 1. riziko.</w:t>
      </w:r>
      <w:r w:rsidR="00BC3786" w:rsidRPr="00006133">
        <w:t xml:space="preserve"> </w:t>
      </w:r>
    </w:p>
    <w:p w14:paraId="359A0AF1" w14:textId="77777777" w:rsidR="009941AE" w:rsidRDefault="009941AE" w:rsidP="009941AE">
      <w:pPr>
        <w:spacing w:after="0" w:line="240" w:lineRule="auto"/>
        <w:ind w:left="720"/>
        <w:jc w:val="both"/>
      </w:pPr>
    </w:p>
    <w:p w14:paraId="4371E4CD" w14:textId="041497D3" w:rsidR="00BD4924" w:rsidRDefault="00BD4924" w:rsidP="003719AA">
      <w:pPr>
        <w:numPr>
          <w:ilvl w:val="0"/>
          <w:numId w:val="1"/>
        </w:numPr>
        <w:spacing w:after="0" w:line="240" w:lineRule="auto"/>
        <w:jc w:val="both"/>
      </w:pPr>
      <w:r w:rsidRPr="00E87415">
        <w:t>Jsou-li předmětem pojištění věci zaměstnanců, pak se pojištění vztahuje na věci, které zaměstnanci pojištěného obvykle nosí do práce, nebo které se nacházejí na místě pojištění v souvislosti s výkonem povolání v zájmu zaměstnavatele.</w:t>
      </w:r>
    </w:p>
    <w:p w14:paraId="3FF5D41C" w14:textId="77777777" w:rsidR="009941AE" w:rsidRPr="00E87415" w:rsidRDefault="009941AE" w:rsidP="009941AE">
      <w:pPr>
        <w:spacing w:after="0" w:line="240" w:lineRule="auto"/>
        <w:jc w:val="both"/>
      </w:pPr>
    </w:p>
    <w:p w14:paraId="7BAC7083" w14:textId="4EAE6610" w:rsidR="002034E6" w:rsidRDefault="002034E6" w:rsidP="0077758E">
      <w:pPr>
        <w:numPr>
          <w:ilvl w:val="0"/>
          <w:numId w:val="1"/>
        </w:numPr>
        <w:spacing w:after="0" w:line="240" w:lineRule="auto"/>
        <w:jc w:val="both"/>
      </w:pPr>
      <w:r w:rsidRPr="00E87415">
        <w:t xml:space="preserve">Pojištění pro případ poškození nebo zničení pojištěné věci tíhou sněhu </w:t>
      </w:r>
      <w:r w:rsidR="009660CB" w:rsidRPr="00E87415">
        <w:t xml:space="preserve">nebo námrazy </w:t>
      </w:r>
      <w:r w:rsidRPr="00E87415">
        <w:t>se vztahuje i na poškození</w:t>
      </w:r>
      <w:r w:rsidR="009660CB" w:rsidRPr="00E87415">
        <w:t>, zničení</w:t>
      </w:r>
      <w:r w:rsidRPr="00E87415">
        <w:t xml:space="preserve"> předmětů, které nemají nosnou konstrukci.</w:t>
      </w:r>
    </w:p>
    <w:p w14:paraId="58AFAA06" w14:textId="5FA82B8C" w:rsidR="004D19F9" w:rsidRPr="00C90EF1" w:rsidRDefault="004D19F9" w:rsidP="004D19F9">
      <w:pPr>
        <w:pStyle w:val="Odstavecseseznamem"/>
        <w:rPr>
          <w:b/>
          <w:bCs/>
        </w:rPr>
      </w:pPr>
      <w:bookmarkStart w:id="4" w:name="_Hlk56083689"/>
      <w:r>
        <w:t xml:space="preserve">Limit pojistného plnění je </w:t>
      </w:r>
      <w:r w:rsidR="005D58ED" w:rsidRPr="00C90EF1">
        <w:rPr>
          <w:b/>
          <w:bCs/>
        </w:rPr>
        <w:t>3</w:t>
      </w:r>
      <w:r w:rsidRPr="00C90EF1">
        <w:rPr>
          <w:b/>
          <w:bCs/>
        </w:rPr>
        <w:t>00 000 Kč</w:t>
      </w:r>
    </w:p>
    <w:p w14:paraId="653AC9CF" w14:textId="3DC975DF" w:rsidR="007609FE" w:rsidRDefault="000925B1" w:rsidP="007609FE">
      <w:pPr>
        <w:numPr>
          <w:ilvl w:val="0"/>
          <w:numId w:val="1"/>
        </w:numPr>
        <w:spacing w:after="0" w:line="240" w:lineRule="auto"/>
        <w:jc w:val="both"/>
      </w:pPr>
      <w:r w:rsidRPr="000925B1">
        <w:t xml:space="preserve">Pojištění pro případ poškození nebo zničení pojištěné věci tíhou sněhu nebo námrazy </w:t>
      </w:r>
      <w:r w:rsidR="007609FE" w:rsidRPr="007609FE">
        <w:t>se vztahuje i na věci movité a zásoby.</w:t>
      </w:r>
    </w:p>
    <w:p w14:paraId="48596304" w14:textId="77777777" w:rsidR="007609FE" w:rsidRPr="007609FE" w:rsidRDefault="007609FE" w:rsidP="007609FE">
      <w:pPr>
        <w:spacing w:after="0" w:line="240" w:lineRule="auto"/>
        <w:ind w:left="720"/>
        <w:jc w:val="both"/>
      </w:pPr>
    </w:p>
    <w:bookmarkEnd w:id="4"/>
    <w:p w14:paraId="3433341E" w14:textId="77777777" w:rsidR="00510046" w:rsidRPr="00510046" w:rsidRDefault="00510046" w:rsidP="00510046">
      <w:pPr>
        <w:numPr>
          <w:ilvl w:val="0"/>
          <w:numId w:val="1"/>
        </w:numPr>
        <w:spacing w:after="0" w:line="240" w:lineRule="auto"/>
        <w:jc w:val="both"/>
      </w:pPr>
      <w:r w:rsidRPr="00510046">
        <w:t>Pojištění zásob se vztahuje i na poškození nebo zničení zásob uložených v chladicích nebo mrazicích zařízeních v místě pojištění dle této smlouvy, které bylo způsobené v důsledku:</w:t>
      </w:r>
    </w:p>
    <w:p w14:paraId="17E1BE90" w14:textId="77777777" w:rsidR="00510046" w:rsidRPr="00510046" w:rsidRDefault="00510046" w:rsidP="005A17EB">
      <w:pPr>
        <w:numPr>
          <w:ilvl w:val="0"/>
          <w:numId w:val="38"/>
        </w:numPr>
        <w:spacing w:after="0" w:line="240" w:lineRule="auto"/>
        <w:ind w:left="1560"/>
        <w:jc w:val="both"/>
      </w:pPr>
      <w:r w:rsidRPr="00510046">
        <w:t>Poruchy chladicího nebo mrazicího zařízení</w:t>
      </w:r>
    </w:p>
    <w:p w14:paraId="4A58464C" w14:textId="77777777" w:rsidR="00510046" w:rsidRPr="00510046" w:rsidRDefault="00510046" w:rsidP="005A17EB">
      <w:pPr>
        <w:numPr>
          <w:ilvl w:val="0"/>
          <w:numId w:val="38"/>
        </w:numPr>
        <w:spacing w:after="0" w:line="240" w:lineRule="auto"/>
        <w:ind w:left="1560"/>
        <w:jc w:val="both"/>
      </w:pPr>
      <w:r w:rsidRPr="00510046">
        <w:t>Přerušení dodávky elektrické energie z distribuční sítě trvající déle než 4 hodiny, ke kterému nedošlo v důsledku porušení povinnosti ze strany pojištěného</w:t>
      </w:r>
    </w:p>
    <w:p w14:paraId="378D9CFD" w14:textId="77777777" w:rsidR="00510046" w:rsidRPr="00510046" w:rsidRDefault="00510046" w:rsidP="005A17EB">
      <w:pPr>
        <w:numPr>
          <w:ilvl w:val="0"/>
          <w:numId w:val="38"/>
        </w:numPr>
        <w:spacing w:after="0" w:line="240" w:lineRule="auto"/>
        <w:ind w:left="1560"/>
        <w:jc w:val="both"/>
      </w:pPr>
      <w:r w:rsidRPr="00510046">
        <w:t>Přerušení dodávky elektrické energie ve vnitřní síti po pojistné události z jakéhokoliv pojištěného rizika</w:t>
      </w:r>
    </w:p>
    <w:p w14:paraId="4ECC6569" w14:textId="7656F7F5" w:rsidR="00510046" w:rsidRPr="00510046" w:rsidRDefault="00510046" w:rsidP="00400E69">
      <w:pPr>
        <w:spacing w:after="0" w:line="240" w:lineRule="auto"/>
        <w:ind w:left="709"/>
        <w:jc w:val="both"/>
      </w:pPr>
      <w:r w:rsidRPr="00510046">
        <w:lastRenderedPageBreak/>
        <w:t xml:space="preserve">Pojištění se sjednává na první riziko s limitem </w:t>
      </w:r>
      <w:r w:rsidR="00374963">
        <w:rPr>
          <w:b/>
          <w:bCs/>
        </w:rPr>
        <w:t>10</w:t>
      </w:r>
      <w:r w:rsidRPr="00510046">
        <w:rPr>
          <w:b/>
          <w:bCs/>
        </w:rPr>
        <w:t>0.000 Kč</w:t>
      </w:r>
      <w:r w:rsidRPr="00510046">
        <w:t xml:space="preserve"> a se spoluúčastí </w:t>
      </w:r>
      <w:r w:rsidRPr="00510046">
        <w:rPr>
          <w:b/>
          <w:bCs/>
        </w:rPr>
        <w:t>1.000 Kč.</w:t>
      </w:r>
    </w:p>
    <w:p w14:paraId="673FAB8F" w14:textId="77777777" w:rsidR="009941AE" w:rsidRPr="00E87415" w:rsidRDefault="009941AE" w:rsidP="009941AE">
      <w:pPr>
        <w:spacing w:after="0" w:line="240" w:lineRule="auto"/>
        <w:jc w:val="both"/>
      </w:pPr>
    </w:p>
    <w:p w14:paraId="222BBD9D" w14:textId="365C2E6C" w:rsidR="00DC1FD2" w:rsidRDefault="0025554E" w:rsidP="0077758E">
      <w:pPr>
        <w:numPr>
          <w:ilvl w:val="0"/>
          <w:numId w:val="1"/>
        </w:numPr>
        <w:spacing w:after="0" w:line="240" w:lineRule="auto"/>
        <w:jc w:val="both"/>
      </w:pPr>
      <w:r w:rsidRPr="00E87415">
        <w:t>Ujednává se, že pojišťovna poskytne pojistné plnění i v případě poškození, zničení nebo ztráty (příp. pohřešování) pojištěného předmětu</w:t>
      </w:r>
      <w:r w:rsidR="003E4F88" w:rsidRPr="00E87415">
        <w:t xml:space="preserve"> nebo jeho části</w:t>
      </w:r>
      <w:r w:rsidRPr="00E87415">
        <w:t>, k nimž došlo v příčinné souvislosti s působením některého ze sjednaných pojistných nebezpečí.</w:t>
      </w:r>
    </w:p>
    <w:p w14:paraId="096DC658" w14:textId="77777777" w:rsidR="009941AE" w:rsidRPr="00E87415" w:rsidRDefault="009941AE" w:rsidP="009941AE">
      <w:pPr>
        <w:spacing w:after="0" w:line="240" w:lineRule="auto"/>
        <w:jc w:val="both"/>
      </w:pPr>
    </w:p>
    <w:p w14:paraId="0315E9A9" w14:textId="55A28C16" w:rsidR="00290DB4" w:rsidRDefault="002034E6" w:rsidP="00290DB4">
      <w:pPr>
        <w:numPr>
          <w:ilvl w:val="0"/>
          <w:numId w:val="1"/>
        </w:numPr>
        <w:spacing w:after="0" w:line="240" w:lineRule="auto"/>
        <w:jc w:val="both"/>
      </w:pPr>
      <w:r w:rsidRPr="00E87415">
        <w:t>Pojištění se vztahuje i na škody na</w:t>
      </w:r>
      <w:r w:rsidR="000C126B">
        <w:t xml:space="preserve"> stavebních součástech</w:t>
      </w:r>
      <w:r w:rsidRPr="00E87415">
        <w:t xml:space="preserve"> </w:t>
      </w:r>
      <w:r w:rsidR="00C51C61">
        <w:t>rekonstruovaných stav</w:t>
      </w:r>
      <w:r w:rsidR="000C126B">
        <w:t>eb</w:t>
      </w:r>
      <w:r w:rsidR="00C51C61">
        <w:t xml:space="preserve">, nebo </w:t>
      </w:r>
      <w:r w:rsidRPr="00E87415">
        <w:t>rozestavěných, nezkolaudov</w:t>
      </w:r>
      <w:r w:rsidR="00DD1F29" w:rsidRPr="00E87415">
        <w:t>aných stav</w:t>
      </w:r>
      <w:r w:rsidR="000C126B">
        <w:t>eb</w:t>
      </w:r>
      <w:r w:rsidR="00DD1F29" w:rsidRPr="00E87415">
        <w:t xml:space="preserve"> a nemovitost</w:t>
      </w:r>
      <w:r w:rsidR="000C126B">
        <w:t>í</w:t>
      </w:r>
      <w:r w:rsidR="00DD1F29" w:rsidRPr="00E87415">
        <w:t xml:space="preserve"> </w:t>
      </w:r>
      <w:r w:rsidRPr="00E87415">
        <w:t>včetně věcí, které se na nich</w:t>
      </w:r>
      <w:r w:rsidR="00747CB5" w:rsidRPr="00E87415">
        <w:t xml:space="preserve"> nacházejí.</w:t>
      </w:r>
    </w:p>
    <w:p w14:paraId="40B115A4" w14:textId="77777777" w:rsidR="001B3C6F" w:rsidRPr="00E87415" w:rsidRDefault="001B3C6F" w:rsidP="001B3C6F">
      <w:pPr>
        <w:spacing w:after="0" w:line="240" w:lineRule="auto"/>
        <w:jc w:val="both"/>
      </w:pPr>
    </w:p>
    <w:p w14:paraId="632C32A3" w14:textId="487AC760" w:rsidR="009941AE" w:rsidRDefault="001B3C6F" w:rsidP="009941AE">
      <w:pPr>
        <w:numPr>
          <w:ilvl w:val="0"/>
          <w:numId w:val="1"/>
        </w:numPr>
        <w:spacing w:after="0" w:line="240" w:lineRule="auto"/>
        <w:jc w:val="both"/>
        <w:rPr>
          <w:i/>
          <w:u w:val="single"/>
        </w:rPr>
      </w:pPr>
      <w:r>
        <w:t>Za pojistné riziko záplava se považuje také poškození či</w:t>
      </w:r>
      <w:r w:rsidR="002034E6" w:rsidRPr="00E87415">
        <w:t xml:space="preserve"> zničení předmětů pojištění zpětným vystoupnutím kapaliny z odpadního potrubí</w:t>
      </w:r>
      <w:r w:rsidR="002034E6" w:rsidRPr="00E25771">
        <w:t>.</w:t>
      </w:r>
      <w:r w:rsidR="0090734C" w:rsidRPr="00E25771">
        <w:t xml:space="preserve"> </w:t>
      </w:r>
    </w:p>
    <w:p w14:paraId="0DCE66CC" w14:textId="77777777" w:rsidR="009941AE" w:rsidRPr="00F00F16" w:rsidRDefault="009941AE" w:rsidP="009941AE">
      <w:pPr>
        <w:spacing w:after="0" w:line="240" w:lineRule="auto"/>
        <w:ind w:left="360"/>
        <w:jc w:val="both"/>
        <w:rPr>
          <w:i/>
          <w:color w:val="FF0000"/>
          <w:u w:val="single"/>
        </w:rPr>
      </w:pPr>
    </w:p>
    <w:p w14:paraId="1F07A074" w14:textId="77777777" w:rsidR="00AA2648" w:rsidRPr="00AA2648" w:rsidRDefault="00AA2648" w:rsidP="00AA2648">
      <w:pPr>
        <w:numPr>
          <w:ilvl w:val="0"/>
          <w:numId w:val="1"/>
        </w:numPr>
        <w:spacing w:after="0" w:line="240" w:lineRule="auto"/>
        <w:jc w:val="both"/>
      </w:pPr>
      <w:r w:rsidRPr="00AA2648">
        <w:t>Pojištění „zatečení atmosférických srážek“ se vztahuje na zatečení dešťové vody při jakékoliv intenzitě deště, dále také na škody způsobené zatékáním vody z důvodu tajícího sněhu nebo ledu.</w:t>
      </w:r>
    </w:p>
    <w:p w14:paraId="3B4F9251" w14:textId="77777777" w:rsidR="009941AE" w:rsidRPr="00E25771" w:rsidRDefault="009941AE" w:rsidP="009941AE">
      <w:pPr>
        <w:spacing w:after="0" w:line="240" w:lineRule="auto"/>
        <w:jc w:val="both"/>
      </w:pPr>
    </w:p>
    <w:p w14:paraId="36C3CCCA" w14:textId="7C280CB9" w:rsidR="009B2529" w:rsidRPr="00E87415" w:rsidRDefault="009B2529" w:rsidP="009B2529">
      <w:pPr>
        <w:numPr>
          <w:ilvl w:val="0"/>
          <w:numId w:val="1"/>
        </w:numPr>
        <w:spacing w:after="0" w:line="240" w:lineRule="auto"/>
        <w:jc w:val="both"/>
      </w:pPr>
      <w:r w:rsidRPr="00E87415">
        <w:t xml:space="preserve">Za vodovodní zařízení se </w:t>
      </w:r>
      <w:r w:rsidR="00F62C3E">
        <w:t xml:space="preserve">také </w:t>
      </w:r>
      <w:r w:rsidRPr="00E87415">
        <w:t>považuje:</w:t>
      </w:r>
    </w:p>
    <w:p w14:paraId="10943634" w14:textId="77777777" w:rsidR="009B2529" w:rsidRPr="00E87415" w:rsidRDefault="009B2529" w:rsidP="009B2529">
      <w:pPr>
        <w:numPr>
          <w:ilvl w:val="0"/>
          <w:numId w:val="33"/>
        </w:numPr>
        <w:spacing w:after="0" w:line="240" w:lineRule="auto"/>
        <w:jc w:val="both"/>
      </w:pPr>
      <w:r w:rsidRPr="00E87415">
        <w:t>potrubí pro přívod, rozvod a odvod vody včetně armatur a zařízení na ně připojištěných,</w:t>
      </w:r>
    </w:p>
    <w:p w14:paraId="20F0340C" w14:textId="77777777" w:rsidR="009B2529" w:rsidRPr="00E87415" w:rsidRDefault="009B2529" w:rsidP="009B2529">
      <w:pPr>
        <w:numPr>
          <w:ilvl w:val="0"/>
          <w:numId w:val="33"/>
        </w:numPr>
        <w:spacing w:after="0" w:line="240" w:lineRule="auto"/>
        <w:jc w:val="both"/>
      </w:pPr>
      <w:r w:rsidRPr="00E87415">
        <w:t>rozvody topných a klimatizačních systémů včetně t</w:t>
      </w:r>
      <w:r w:rsidR="00330F8F" w:rsidRPr="00E87415">
        <w:t>ěles a zařízení na ně připojených,</w:t>
      </w:r>
    </w:p>
    <w:p w14:paraId="3A096AF4" w14:textId="6547A108" w:rsidR="00330F8F" w:rsidRDefault="00330F8F" w:rsidP="009B2529">
      <w:pPr>
        <w:numPr>
          <w:ilvl w:val="0"/>
          <w:numId w:val="33"/>
        </w:numPr>
        <w:spacing w:after="0" w:line="240" w:lineRule="auto"/>
        <w:jc w:val="both"/>
      </w:pPr>
      <w:r w:rsidRPr="00E87415">
        <w:t>střešní žlaby a vnější a vnitřní dešťové svody.</w:t>
      </w:r>
    </w:p>
    <w:p w14:paraId="07F9960A" w14:textId="77777777" w:rsidR="009941AE" w:rsidRPr="00E87415" w:rsidRDefault="009941AE" w:rsidP="009941AE">
      <w:pPr>
        <w:spacing w:after="0" w:line="240" w:lineRule="auto"/>
        <w:ind w:left="1080"/>
        <w:jc w:val="both"/>
      </w:pPr>
    </w:p>
    <w:p w14:paraId="1658EE22" w14:textId="0C0EFD49" w:rsidR="002034E6" w:rsidRDefault="002034E6" w:rsidP="0077758E">
      <w:pPr>
        <w:numPr>
          <w:ilvl w:val="0"/>
          <w:numId w:val="1"/>
        </w:numPr>
        <w:spacing w:after="0" w:line="240" w:lineRule="auto"/>
        <w:jc w:val="both"/>
      </w:pPr>
      <w:r w:rsidRPr="00E87415">
        <w:t>Poji</w:t>
      </w:r>
      <w:r w:rsidR="00F62C3E">
        <w:t xml:space="preserve">stné </w:t>
      </w:r>
      <w:r w:rsidRPr="00E87415">
        <w:t xml:space="preserve"> </w:t>
      </w:r>
      <w:r w:rsidR="00F62C3E">
        <w:t>nebezpečí</w:t>
      </w:r>
      <w:r w:rsidRPr="00E87415">
        <w:t xml:space="preserve"> „vodovodní škody“ </w:t>
      </w:r>
      <w:r w:rsidR="00F62C3E">
        <w:t xml:space="preserve">zahrnuje i krytí škod na vodovodním zařízení </w:t>
      </w:r>
      <w:r w:rsidRPr="00E87415">
        <w:t xml:space="preserve">způsobené lomem trubky, </w:t>
      </w:r>
      <w:r w:rsidR="0021085E">
        <w:t xml:space="preserve">tedy poškozením, které vzniklo i jinak než </w:t>
      </w:r>
      <w:r w:rsidRPr="00E87415">
        <w:t>přetlakem páry nebo kapalin a zmrznutím vody na vodovodních a kanalizačních potrubích, přípojkách a zařízeních na nich připojených a dále na škody způsobené médiem vytékajícím z klimatizačních zařízení, sprinklerů, samočinných a stabilních hasicích zařízení v důsledku poruchy těchto zařízení včetně škod způsobených v důsledku provádění zkoušek těchto zařízení. K samočinným hasicím zařízením patří i trysky, potrubní vedení vody nebo hasícího media, zásobníky vody nebo hasícího media, ventily, čerpadla, jakož i jiná zařízení.</w:t>
      </w:r>
    </w:p>
    <w:p w14:paraId="6DFE874A" w14:textId="7C12534A" w:rsidR="0021085E" w:rsidRPr="008E10ED" w:rsidRDefault="0021085E" w:rsidP="0021085E">
      <w:pPr>
        <w:spacing w:after="0" w:line="240" w:lineRule="auto"/>
        <w:ind w:left="720"/>
        <w:jc w:val="both"/>
        <w:rPr>
          <w:b/>
          <w:bCs/>
        </w:rPr>
      </w:pPr>
      <w:r w:rsidRPr="0021085E">
        <w:t xml:space="preserve">Limit plnění </w:t>
      </w:r>
      <w:r w:rsidR="00394EA8" w:rsidRPr="008E10ED">
        <w:rPr>
          <w:b/>
          <w:bCs/>
        </w:rPr>
        <w:t>2</w:t>
      </w:r>
      <w:r w:rsidRPr="008E10ED">
        <w:rPr>
          <w:b/>
          <w:bCs/>
        </w:rPr>
        <w:t>00 000 Kč</w:t>
      </w:r>
    </w:p>
    <w:p w14:paraId="47E39526" w14:textId="77777777" w:rsidR="009941AE" w:rsidRDefault="009941AE" w:rsidP="008D6169">
      <w:pPr>
        <w:spacing w:after="0" w:line="240" w:lineRule="auto"/>
        <w:ind w:left="720"/>
        <w:jc w:val="both"/>
      </w:pPr>
    </w:p>
    <w:p w14:paraId="260B874A" w14:textId="3F51B4BF" w:rsidR="00401470" w:rsidRDefault="0021085E" w:rsidP="00D35F94">
      <w:pPr>
        <w:numPr>
          <w:ilvl w:val="0"/>
          <w:numId w:val="1"/>
        </w:numPr>
        <w:spacing w:after="0" w:line="240" w:lineRule="auto"/>
        <w:jc w:val="both"/>
      </w:pPr>
      <w:r>
        <w:t xml:space="preserve">U pojistného </w:t>
      </w:r>
      <w:r w:rsidR="00F62C3E">
        <w:t>nebezpečí</w:t>
      </w:r>
      <w:r>
        <w:t xml:space="preserve"> „vodovodní škody“ vzniká právo na plnění také </w:t>
      </w:r>
      <w:r w:rsidRPr="0021085E">
        <w:t xml:space="preserve">za náklady na vodu (vodné </w:t>
      </w:r>
      <w:proofErr w:type="gramStart"/>
      <w:r w:rsidRPr="0021085E">
        <w:t>a  stočné</w:t>
      </w:r>
      <w:proofErr w:type="gramEnd"/>
      <w:r w:rsidRPr="0021085E">
        <w:t xml:space="preserve">) uniklou v přímé souvislosti s touto vodovodní </w:t>
      </w:r>
      <w:proofErr w:type="gramStart"/>
      <w:r w:rsidRPr="0021085E">
        <w:t>škodou .</w:t>
      </w:r>
      <w:proofErr w:type="gramEnd"/>
      <w:r w:rsidRPr="0021085E">
        <w:t xml:space="preserve"> Pojištěný je povinen prokázat výši škody (např. dokladem od smluvního dodavatele vody</w:t>
      </w:r>
      <w:r w:rsidR="00401470">
        <w:t xml:space="preserve"> apod). </w:t>
      </w:r>
    </w:p>
    <w:p w14:paraId="52E2B3C7" w14:textId="00DD9B7D" w:rsidR="0021085E" w:rsidRPr="008E10ED" w:rsidRDefault="0021085E" w:rsidP="00401470">
      <w:pPr>
        <w:spacing w:after="0" w:line="240" w:lineRule="auto"/>
        <w:ind w:left="720"/>
        <w:jc w:val="both"/>
        <w:rPr>
          <w:b/>
          <w:bCs/>
        </w:rPr>
      </w:pPr>
      <w:r>
        <w:t xml:space="preserve">Limit plnění </w:t>
      </w:r>
      <w:r w:rsidRPr="008E10ED">
        <w:rPr>
          <w:b/>
          <w:bCs/>
        </w:rPr>
        <w:t>200 000 Kč</w:t>
      </w:r>
    </w:p>
    <w:p w14:paraId="50A2C53A" w14:textId="77777777" w:rsidR="009941AE" w:rsidRPr="00FC08D2" w:rsidRDefault="009941AE" w:rsidP="00401470">
      <w:pPr>
        <w:spacing w:after="0" w:line="240" w:lineRule="auto"/>
        <w:ind w:left="720"/>
        <w:jc w:val="both"/>
      </w:pPr>
    </w:p>
    <w:p w14:paraId="790360B4" w14:textId="0F753278" w:rsidR="002034E6" w:rsidRDefault="002034E6" w:rsidP="0077758E">
      <w:pPr>
        <w:pStyle w:val="Seznam"/>
        <w:numPr>
          <w:ilvl w:val="0"/>
          <w:numId w:val="1"/>
        </w:numPr>
        <w:jc w:val="both"/>
        <w:rPr>
          <w:rFonts w:ascii="Calibri" w:hAnsi="Calibri"/>
          <w:sz w:val="22"/>
          <w:szCs w:val="22"/>
        </w:rPr>
      </w:pPr>
      <w:r w:rsidRPr="00E87415">
        <w:rPr>
          <w:rFonts w:ascii="Calibri" w:hAnsi="Calibri"/>
          <w:sz w:val="22"/>
          <w:szCs w:val="22"/>
        </w:rPr>
        <w:t>U pojistného nebezpečí „tíha sněhu nebo námrazy“ jsou předmětem pojištění také škody na stavebních součástech např. poškození</w:t>
      </w:r>
      <w:r w:rsidR="00D624AB" w:rsidRPr="00E87415">
        <w:rPr>
          <w:rFonts w:ascii="Calibri" w:hAnsi="Calibri"/>
          <w:sz w:val="22"/>
          <w:szCs w:val="22"/>
        </w:rPr>
        <w:t>, zničení</w:t>
      </w:r>
      <w:r w:rsidRPr="00E87415">
        <w:rPr>
          <w:rFonts w:ascii="Calibri" w:hAnsi="Calibri"/>
          <w:sz w:val="22"/>
          <w:szCs w:val="22"/>
        </w:rPr>
        <w:t xml:space="preserve"> žlabů, dešťových svodů vč. jejich upevňovacích konstrukcí nebo střešní krytiny nebo další příslu</w:t>
      </w:r>
      <w:r w:rsidR="00E43BAC" w:rsidRPr="00E87415">
        <w:rPr>
          <w:rFonts w:ascii="Calibri" w:hAnsi="Calibri"/>
          <w:sz w:val="22"/>
          <w:szCs w:val="22"/>
        </w:rPr>
        <w:t xml:space="preserve">šenství budov (antény, reklamy </w:t>
      </w:r>
      <w:r w:rsidRPr="00E87415">
        <w:rPr>
          <w:rFonts w:ascii="Calibri" w:hAnsi="Calibri"/>
          <w:sz w:val="22"/>
          <w:szCs w:val="22"/>
        </w:rPr>
        <w:t>apod.), i když současně ze stejné příčiny nedošlo k poškození nosné konstrukce střech budov.</w:t>
      </w:r>
    </w:p>
    <w:p w14:paraId="1E1DCFDB" w14:textId="77777777" w:rsidR="009941AE" w:rsidRPr="00E87415" w:rsidRDefault="009941AE" w:rsidP="009941AE">
      <w:pPr>
        <w:pStyle w:val="Seznam"/>
        <w:ind w:left="720" w:firstLine="0"/>
        <w:jc w:val="both"/>
        <w:rPr>
          <w:rFonts w:ascii="Calibri" w:hAnsi="Calibri"/>
          <w:sz w:val="22"/>
          <w:szCs w:val="22"/>
        </w:rPr>
      </w:pPr>
    </w:p>
    <w:p w14:paraId="11A1E3DC" w14:textId="78BBC91D" w:rsidR="002034E6" w:rsidRDefault="002034E6" w:rsidP="0077758E">
      <w:pPr>
        <w:pStyle w:val="Seznam"/>
        <w:numPr>
          <w:ilvl w:val="0"/>
          <w:numId w:val="1"/>
        </w:numPr>
        <w:jc w:val="both"/>
        <w:rPr>
          <w:rFonts w:ascii="Calibri" w:hAnsi="Calibri"/>
          <w:sz w:val="22"/>
          <w:szCs w:val="22"/>
        </w:rPr>
      </w:pPr>
      <w:r w:rsidRPr="00E87415">
        <w:rPr>
          <w:rFonts w:ascii="Calibri" w:hAnsi="Calibri"/>
          <w:sz w:val="22"/>
          <w:szCs w:val="22"/>
        </w:rPr>
        <w:t>Pro pojistné nebezpečí tíha sněhu nebo námrazy se ujednává, že právo na pojistné plnění vzniká také tehdy, byla-li pojištěná věc poškozena nebo zničena v př</w:t>
      </w:r>
      <w:r w:rsidR="00E43BAC" w:rsidRPr="00E87415">
        <w:rPr>
          <w:rFonts w:ascii="Calibri" w:hAnsi="Calibri"/>
          <w:sz w:val="22"/>
          <w:szCs w:val="22"/>
        </w:rPr>
        <w:t xml:space="preserve">íčinné souvislosti s pojistným </w:t>
      </w:r>
      <w:r w:rsidRPr="00E87415">
        <w:rPr>
          <w:rFonts w:ascii="Calibri" w:hAnsi="Calibri"/>
          <w:sz w:val="22"/>
          <w:szCs w:val="22"/>
        </w:rPr>
        <w:t>nebezpečím tíha sněhu nebo námrazy.</w:t>
      </w:r>
    </w:p>
    <w:p w14:paraId="571F6574" w14:textId="77777777" w:rsidR="009941AE" w:rsidRPr="00E87415" w:rsidRDefault="009941AE" w:rsidP="009941AE">
      <w:pPr>
        <w:pStyle w:val="Seznam"/>
        <w:ind w:left="0" w:firstLine="0"/>
        <w:jc w:val="both"/>
        <w:rPr>
          <w:rFonts w:ascii="Calibri" w:hAnsi="Calibri"/>
          <w:sz w:val="22"/>
          <w:szCs w:val="22"/>
        </w:rPr>
      </w:pPr>
    </w:p>
    <w:p w14:paraId="7FA4483C" w14:textId="650709BF" w:rsidR="00686C3A" w:rsidRDefault="00686C3A" w:rsidP="00E7471D">
      <w:pPr>
        <w:numPr>
          <w:ilvl w:val="0"/>
          <w:numId w:val="1"/>
        </w:numPr>
        <w:spacing w:after="0" w:line="240" w:lineRule="auto"/>
        <w:jc w:val="both"/>
      </w:pPr>
      <w:r w:rsidRPr="00E87415">
        <w:t>Pojištění písemností, plánů, obchodních knih, kartoték, výkresů apod. se sjednává včetně nákladů na administrativní práci spojenou s jejich znovupořízením, tj. nikoliv v hodnotě, kterou pro pojištěného svým obsahem představují.</w:t>
      </w:r>
    </w:p>
    <w:p w14:paraId="5A0DD0F5" w14:textId="77777777" w:rsidR="009941AE" w:rsidRPr="00E87415" w:rsidRDefault="009941AE" w:rsidP="009941AE">
      <w:pPr>
        <w:spacing w:after="0" w:line="240" w:lineRule="auto"/>
        <w:jc w:val="both"/>
      </w:pPr>
    </w:p>
    <w:p w14:paraId="5C742759" w14:textId="70192313" w:rsidR="007A1309" w:rsidRDefault="00686C3A" w:rsidP="00155D39">
      <w:pPr>
        <w:numPr>
          <w:ilvl w:val="0"/>
          <w:numId w:val="1"/>
        </w:numPr>
        <w:spacing w:after="0" w:line="240" w:lineRule="auto"/>
        <w:jc w:val="both"/>
      </w:pPr>
      <w:r w:rsidRPr="00E87415">
        <w:t xml:space="preserve">Pojištění záznamů počítačových systémů se sjednává v hodnotě materiálu včetně nákladů na administrativní práci a provoz počítače nezbytných na reprodukci těchto záznamů (s </w:t>
      </w:r>
      <w:r w:rsidRPr="00E87415">
        <w:lastRenderedPageBreak/>
        <w:t>vyloučením jakýchkoliv nákladů na pořízení informací, které jsou zde zaznamenány), tj. nikoliv v hodnotě informací, kterou pro pojištěného svým obsahem představují</w:t>
      </w:r>
      <w:r w:rsidR="00E22E6E" w:rsidRPr="00E87415">
        <w:t>.</w:t>
      </w:r>
    </w:p>
    <w:p w14:paraId="0F63956E" w14:textId="77777777" w:rsidR="009941AE" w:rsidRPr="00E87415" w:rsidRDefault="009941AE" w:rsidP="007A1309">
      <w:pPr>
        <w:spacing w:after="0" w:line="240" w:lineRule="auto"/>
        <w:ind w:left="720"/>
        <w:jc w:val="both"/>
      </w:pPr>
    </w:p>
    <w:p w14:paraId="6F165D6B" w14:textId="1697D4BF" w:rsidR="007A1309" w:rsidRDefault="00277E8B" w:rsidP="007A1309">
      <w:pPr>
        <w:pStyle w:val="Seznam"/>
        <w:numPr>
          <w:ilvl w:val="0"/>
          <w:numId w:val="1"/>
        </w:numPr>
        <w:jc w:val="both"/>
        <w:rPr>
          <w:rFonts w:ascii="Calibri" w:hAnsi="Calibri"/>
          <w:sz w:val="22"/>
          <w:szCs w:val="22"/>
        </w:rPr>
      </w:pPr>
      <w:r>
        <w:rPr>
          <w:rFonts w:ascii="Calibri" w:hAnsi="Calibri"/>
          <w:sz w:val="22"/>
          <w:szCs w:val="22"/>
        </w:rPr>
        <w:t>Pojištění se vztahuje na</w:t>
      </w:r>
      <w:r w:rsidR="007A1309" w:rsidRPr="00E87415">
        <w:rPr>
          <w:rFonts w:ascii="Calibri" w:hAnsi="Calibri"/>
          <w:sz w:val="22"/>
          <w:szCs w:val="22"/>
        </w:rPr>
        <w:t xml:space="preserve"> případ poškození nebo zničení pojištěné věci nárazem dopravního prostředku nebo jeho nákladu, pádem stromů, stožárů nebo jiných předmětů se vztahuje i na součásti poškozené věci nebo součásti téhož souboru jako poškozená věc.</w:t>
      </w:r>
    </w:p>
    <w:p w14:paraId="0D16BF0E" w14:textId="77777777" w:rsidR="009941AE" w:rsidRPr="00E87415" w:rsidRDefault="009941AE" w:rsidP="009941AE">
      <w:pPr>
        <w:pStyle w:val="Seznam"/>
        <w:ind w:left="720" w:firstLine="0"/>
        <w:jc w:val="both"/>
        <w:rPr>
          <w:rFonts w:ascii="Calibri" w:hAnsi="Calibri"/>
          <w:sz w:val="22"/>
          <w:szCs w:val="22"/>
        </w:rPr>
      </w:pPr>
    </w:p>
    <w:p w14:paraId="480AB4C7" w14:textId="735D37E2" w:rsidR="007A1309" w:rsidRDefault="00777E81" w:rsidP="007C5AD9">
      <w:pPr>
        <w:pStyle w:val="Seznam"/>
        <w:numPr>
          <w:ilvl w:val="0"/>
          <w:numId w:val="1"/>
        </w:numPr>
        <w:jc w:val="both"/>
        <w:rPr>
          <w:rFonts w:ascii="Calibri" w:hAnsi="Calibri"/>
          <w:sz w:val="22"/>
          <w:szCs w:val="22"/>
        </w:rPr>
      </w:pPr>
      <w:r w:rsidRPr="00E87415">
        <w:rPr>
          <w:rFonts w:ascii="Calibri" w:hAnsi="Calibri"/>
          <w:sz w:val="22"/>
          <w:szCs w:val="22"/>
        </w:rPr>
        <w:t>Za náraz dopravního prostředku</w:t>
      </w:r>
      <w:r w:rsidR="007A1309" w:rsidRPr="00E87415">
        <w:rPr>
          <w:rFonts w:ascii="Calibri" w:hAnsi="Calibri"/>
          <w:sz w:val="22"/>
          <w:szCs w:val="22"/>
        </w:rPr>
        <w:t xml:space="preserve"> je považován i náraz vla</w:t>
      </w:r>
      <w:r w:rsidR="00587432" w:rsidRPr="00E87415">
        <w:rPr>
          <w:rFonts w:ascii="Calibri" w:hAnsi="Calibri"/>
          <w:sz w:val="22"/>
          <w:szCs w:val="22"/>
        </w:rPr>
        <w:t>stního dopravního prostředku</w:t>
      </w:r>
      <w:r w:rsidR="000770C4" w:rsidRPr="00E87415">
        <w:rPr>
          <w:rFonts w:ascii="Calibri" w:hAnsi="Calibri"/>
          <w:sz w:val="22"/>
          <w:szCs w:val="22"/>
        </w:rPr>
        <w:t xml:space="preserve">, </w:t>
      </w:r>
      <w:r w:rsidR="00F62C3E">
        <w:rPr>
          <w:rFonts w:ascii="Calibri" w:hAnsi="Calibri"/>
          <w:sz w:val="22"/>
          <w:szCs w:val="22"/>
        </w:rPr>
        <w:t xml:space="preserve">vlastněného nebo provozovaného </w:t>
      </w:r>
      <w:r w:rsidR="007A1309" w:rsidRPr="00E87415">
        <w:rPr>
          <w:rFonts w:ascii="Calibri" w:hAnsi="Calibri"/>
          <w:sz w:val="22"/>
          <w:szCs w:val="22"/>
        </w:rPr>
        <w:t>pojištěný</w:t>
      </w:r>
      <w:r w:rsidR="00F62C3E">
        <w:rPr>
          <w:rFonts w:ascii="Calibri" w:hAnsi="Calibri"/>
          <w:sz w:val="22"/>
          <w:szCs w:val="22"/>
        </w:rPr>
        <w:t>m</w:t>
      </w:r>
      <w:r w:rsidR="007C5AD9" w:rsidRPr="00E87415">
        <w:rPr>
          <w:rFonts w:ascii="Calibri" w:hAnsi="Calibri"/>
          <w:sz w:val="22"/>
          <w:szCs w:val="22"/>
        </w:rPr>
        <w:t>.</w:t>
      </w:r>
    </w:p>
    <w:p w14:paraId="23F6C2D2" w14:textId="77777777" w:rsidR="009C3C00" w:rsidRPr="00FC08D2" w:rsidRDefault="009C3C00" w:rsidP="0077758E">
      <w:pPr>
        <w:tabs>
          <w:tab w:val="left" w:pos="2835"/>
        </w:tabs>
        <w:spacing w:after="0" w:line="240" w:lineRule="auto"/>
        <w:jc w:val="both"/>
        <w:rPr>
          <w:b/>
        </w:rPr>
      </w:pPr>
    </w:p>
    <w:p w14:paraId="3665B42C" w14:textId="3E4549F9" w:rsidR="00214048" w:rsidRPr="00275895" w:rsidRDefault="00616EBC" w:rsidP="0077758E">
      <w:pPr>
        <w:tabs>
          <w:tab w:val="left" w:pos="2835"/>
        </w:tabs>
        <w:spacing w:after="0" w:line="240" w:lineRule="auto"/>
        <w:jc w:val="both"/>
        <w:rPr>
          <w:b/>
        </w:rPr>
      </w:pPr>
      <w:r>
        <w:rPr>
          <w:b/>
        </w:rPr>
        <w:t>7</w:t>
      </w:r>
      <w:r w:rsidR="00214048" w:rsidRPr="00275895">
        <w:rPr>
          <w:b/>
        </w:rPr>
        <w:t>.</w:t>
      </w:r>
      <w:r w:rsidR="009C3C00">
        <w:rPr>
          <w:b/>
        </w:rPr>
        <w:t>2</w:t>
      </w:r>
      <w:r w:rsidR="00214048" w:rsidRPr="00275895">
        <w:rPr>
          <w:b/>
        </w:rPr>
        <w:t xml:space="preserve">. </w:t>
      </w:r>
      <w:r w:rsidR="0024407C">
        <w:rPr>
          <w:b/>
        </w:rPr>
        <w:t>Smluvní u</w:t>
      </w:r>
      <w:r w:rsidR="007F7B43" w:rsidRPr="00275895">
        <w:rPr>
          <w:b/>
        </w:rPr>
        <w:t xml:space="preserve">jednání </w:t>
      </w:r>
      <w:r w:rsidR="0024407C">
        <w:rPr>
          <w:b/>
        </w:rPr>
        <w:t>k</w:t>
      </w:r>
      <w:r w:rsidR="007F7B43" w:rsidRPr="00275895">
        <w:rPr>
          <w:b/>
        </w:rPr>
        <w:t xml:space="preserve"> odcizení a vandalismu</w:t>
      </w:r>
      <w:r w:rsidR="00214048" w:rsidRPr="00275895">
        <w:rPr>
          <w:b/>
        </w:rPr>
        <w:t>:</w:t>
      </w:r>
    </w:p>
    <w:p w14:paraId="76BDBE85" w14:textId="1856D24D" w:rsidR="00214048" w:rsidRDefault="00214048" w:rsidP="0077758E">
      <w:pPr>
        <w:tabs>
          <w:tab w:val="left" w:pos="2835"/>
        </w:tabs>
        <w:spacing w:after="0" w:line="240" w:lineRule="auto"/>
        <w:jc w:val="both"/>
        <w:rPr>
          <w:b/>
          <w:color w:val="FF0000"/>
        </w:rPr>
      </w:pPr>
    </w:p>
    <w:p w14:paraId="1F730DC0" w14:textId="77777777" w:rsidR="004F58E0" w:rsidRDefault="004F58E0" w:rsidP="007F7B43">
      <w:pPr>
        <w:pStyle w:val="Seznam"/>
        <w:numPr>
          <w:ilvl w:val="0"/>
          <w:numId w:val="1"/>
        </w:numPr>
        <w:jc w:val="both"/>
        <w:rPr>
          <w:rFonts w:ascii="Calibri" w:hAnsi="Calibri"/>
          <w:sz w:val="22"/>
          <w:szCs w:val="22"/>
        </w:rPr>
      </w:pPr>
      <w:r>
        <w:rPr>
          <w:rFonts w:ascii="Calibri" w:hAnsi="Calibri"/>
          <w:sz w:val="22"/>
          <w:szCs w:val="22"/>
        </w:rPr>
        <w:t xml:space="preserve">Pojištění se vztahuje na </w:t>
      </w:r>
      <w:r w:rsidR="007F7B43" w:rsidRPr="007F7B43">
        <w:rPr>
          <w:rFonts w:ascii="Calibri" w:hAnsi="Calibri"/>
          <w:sz w:val="22"/>
          <w:szCs w:val="22"/>
        </w:rPr>
        <w:t xml:space="preserve">riziko </w:t>
      </w:r>
      <w:r w:rsidR="007F7B43" w:rsidRPr="007F7B43">
        <w:rPr>
          <w:rFonts w:ascii="Calibri" w:hAnsi="Calibri"/>
          <w:b/>
          <w:bCs/>
          <w:sz w:val="22"/>
          <w:szCs w:val="22"/>
        </w:rPr>
        <w:t>prostá krádež</w:t>
      </w:r>
      <w:r w:rsidR="007F7B43">
        <w:rPr>
          <w:rFonts w:ascii="Calibri" w:hAnsi="Calibri"/>
          <w:sz w:val="22"/>
          <w:szCs w:val="22"/>
        </w:rPr>
        <w:t xml:space="preserve">: </w:t>
      </w:r>
      <w:r w:rsidR="007F7B43" w:rsidRPr="007F7B43">
        <w:rPr>
          <w:rFonts w:ascii="Calibri" w:hAnsi="Calibri"/>
          <w:sz w:val="22"/>
          <w:szCs w:val="22"/>
        </w:rPr>
        <w:t>Pojištění se sjednává i pro případ odcizení předmětu pojištění „krádeží prostou“, tj. krádeží bez překonání překážky</w:t>
      </w:r>
      <w:r>
        <w:rPr>
          <w:rFonts w:ascii="Calibri" w:hAnsi="Calibri"/>
          <w:sz w:val="22"/>
          <w:szCs w:val="22"/>
        </w:rPr>
        <w:t xml:space="preserve">. </w:t>
      </w:r>
    </w:p>
    <w:p w14:paraId="72FCAA46" w14:textId="308DBB85" w:rsidR="007F7B43" w:rsidRDefault="004F58E0" w:rsidP="004F58E0">
      <w:pPr>
        <w:pStyle w:val="Seznam"/>
        <w:ind w:left="720" w:firstLine="0"/>
        <w:jc w:val="both"/>
        <w:rPr>
          <w:rFonts w:ascii="Calibri" w:hAnsi="Calibri"/>
          <w:sz w:val="22"/>
          <w:szCs w:val="22"/>
        </w:rPr>
      </w:pPr>
      <w:r>
        <w:rPr>
          <w:rFonts w:ascii="Calibri" w:hAnsi="Calibri"/>
          <w:sz w:val="22"/>
          <w:szCs w:val="22"/>
        </w:rPr>
        <w:t xml:space="preserve">Limit pro toto pojištění je </w:t>
      </w:r>
      <w:r w:rsidR="00DA6379" w:rsidRPr="00F5650B">
        <w:rPr>
          <w:rFonts w:ascii="Calibri" w:hAnsi="Calibri"/>
          <w:b/>
          <w:bCs/>
          <w:sz w:val="22"/>
          <w:szCs w:val="22"/>
        </w:rPr>
        <w:t>10</w:t>
      </w:r>
      <w:r w:rsidR="007F7B43" w:rsidRPr="00F5650B">
        <w:rPr>
          <w:rFonts w:ascii="Calibri" w:hAnsi="Calibri"/>
          <w:b/>
          <w:bCs/>
          <w:sz w:val="22"/>
          <w:szCs w:val="22"/>
        </w:rPr>
        <w:t>0.000 Kč.</w:t>
      </w:r>
      <w:r w:rsidR="007F7B43" w:rsidRPr="007F7B43">
        <w:rPr>
          <w:rFonts w:ascii="Calibri" w:hAnsi="Calibri"/>
          <w:sz w:val="22"/>
          <w:szCs w:val="22"/>
        </w:rPr>
        <w:t xml:space="preserve"> </w:t>
      </w:r>
    </w:p>
    <w:p w14:paraId="485FA925" w14:textId="77777777" w:rsidR="009941AE" w:rsidRPr="007F7B43" w:rsidRDefault="009941AE" w:rsidP="004F58E0">
      <w:pPr>
        <w:pStyle w:val="Seznam"/>
        <w:ind w:left="720" w:firstLine="0"/>
        <w:jc w:val="both"/>
        <w:rPr>
          <w:rFonts w:ascii="Calibri" w:hAnsi="Calibri"/>
          <w:sz w:val="22"/>
          <w:szCs w:val="22"/>
        </w:rPr>
      </w:pPr>
    </w:p>
    <w:p w14:paraId="02FD8F11" w14:textId="4AC70459" w:rsidR="004F58E0" w:rsidRDefault="004F58E0" w:rsidP="004F58E0">
      <w:pPr>
        <w:pStyle w:val="Seznam"/>
        <w:numPr>
          <w:ilvl w:val="0"/>
          <w:numId w:val="1"/>
        </w:numPr>
        <w:jc w:val="both"/>
        <w:rPr>
          <w:rFonts w:ascii="Calibri" w:hAnsi="Calibri"/>
          <w:sz w:val="22"/>
          <w:szCs w:val="22"/>
        </w:rPr>
      </w:pPr>
      <w:r w:rsidRPr="00F5650B">
        <w:rPr>
          <w:rFonts w:ascii="Calibri" w:hAnsi="Calibri"/>
          <w:sz w:val="22"/>
          <w:szCs w:val="22"/>
        </w:rPr>
        <w:t>Pojištění se vztahuje i na úmyslné poškození pojištěné věci malbami, nástřiky (např. spreji a</w:t>
      </w:r>
      <w:r w:rsidRPr="004F58E0">
        <w:rPr>
          <w:rFonts w:ascii="Calibri" w:hAnsi="Calibri"/>
          <w:sz w:val="22"/>
          <w:szCs w:val="22"/>
        </w:rPr>
        <w:t xml:space="preserve"> barvami) nebo polepením</w:t>
      </w:r>
    </w:p>
    <w:p w14:paraId="4FFEA85E" w14:textId="2A662CFC" w:rsidR="004F58E0" w:rsidRDefault="004F58E0" w:rsidP="004F58E0">
      <w:pPr>
        <w:pStyle w:val="Seznam"/>
        <w:ind w:left="720" w:firstLine="0"/>
        <w:jc w:val="both"/>
        <w:rPr>
          <w:rFonts w:ascii="Calibri" w:hAnsi="Calibri"/>
          <w:sz w:val="22"/>
          <w:szCs w:val="22"/>
        </w:rPr>
      </w:pPr>
      <w:r w:rsidRPr="004F58E0">
        <w:rPr>
          <w:rFonts w:ascii="Calibri" w:hAnsi="Calibri"/>
          <w:sz w:val="22"/>
          <w:szCs w:val="22"/>
        </w:rPr>
        <w:t xml:space="preserve">Limit pro toto pojištění je </w:t>
      </w:r>
      <w:r w:rsidR="00F6511B" w:rsidRPr="00F5650B">
        <w:rPr>
          <w:rFonts w:ascii="Calibri" w:hAnsi="Calibri"/>
          <w:b/>
          <w:bCs/>
          <w:sz w:val="22"/>
          <w:szCs w:val="22"/>
        </w:rPr>
        <w:t>2</w:t>
      </w:r>
      <w:r w:rsidRPr="00F5650B">
        <w:rPr>
          <w:rFonts w:ascii="Calibri" w:hAnsi="Calibri"/>
          <w:b/>
          <w:bCs/>
          <w:sz w:val="22"/>
          <w:szCs w:val="22"/>
        </w:rPr>
        <w:t>00.000 Kč.</w:t>
      </w:r>
    </w:p>
    <w:p w14:paraId="349C89BA" w14:textId="77777777" w:rsidR="009941AE" w:rsidRDefault="009941AE" w:rsidP="004F58E0">
      <w:pPr>
        <w:pStyle w:val="Seznam"/>
        <w:ind w:left="720" w:firstLine="0"/>
        <w:jc w:val="both"/>
        <w:rPr>
          <w:rFonts w:ascii="Calibri" w:hAnsi="Calibri"/>
          <w:sz w:val="22"/>
          <w:szCs w:val="22"/>
        </w:rPr>
      </w:pPr>
    </w:p>
    <w:p w14:paraId="0E474B02" w14:textId="19CD2DAA" w:rsidR="007F7B43" w:rsidRPr="00F5650B" w:rsidRDefault="004F58E0" w:rsidP="00395F14">
      <w:pPr>
        <w:pStyle w:val="Seznam"/>
        <w:numPr>
          <w:ilvl w:val="0"/>
          <w:numId w:val="1"/>
        </w:numPr>
        <w:jc w:val="both"/>
        <w:rPr>
          <w:rFonts w:ascii="Calibri" w:hAnsi="Calibri"/>
          <w:sz w:val="22"/>
          <w:szCs w:val="22"/>
        </w:rPr>
      </w:pPr>
      <w:r w:rsidRPr="00F5650B">
        <w:rPr>
          <w:rFonts w:ascii="Calibri" w:hAnsi="Calibri"/>
          <w:sz w:val="22"/>
          <w:szCs w:val="22"/>
        </w:rPr>
        <w:t>Pojištění</w:t>
      </w:r>
      <w:r w:rsidR="006B4D93" w:rsidRPr="00F5650B">
        <w:rPr>
          <w:rFonts w:ascii="Calibri" w:hAnsi="Calibri"/>
          <w:sz w:val="22"/>
          <w:szCs w:val="22"/>
        </w:rPr>
        <w:t xml:space="preserve"> </w:t>
      </w:r>
      <w:r w:rsidRPr="00F5650B">
        <w:rPr>
          <w:rFonts w:ascii="Calibri" w:hAnsi="Calibri"/>
          <w:sz w:val="22"/>
          <w:szCs w:val="22"/>
        </w:rPr>
        <w:t xml:space="preserve">se vztahuje i na případy, kdy pachatel činu </w:t>
      </w:r>
      <w:r w:rsidR="00395F14" w:rsidRPr="00F5650B">
        <w:rPr>
          <w:rFonts w:ascii="Calibri" w:hAnsi="Calibri"/>
          <w:sz w:val="22"/>
          <w:szCs w:val="22"/>
        </w:rPr>
        <w:t xml:space="preserve">byl či </w:t>
      </w:r>
      <w:r w:rsidRPr="00F5650B">
        <w:rPr>
          <w:rFonts w:ascii="Calibri" w:hAnsi="Calibri"/>
          <w:sz w:val="22"/>
          <w:szCs w:val="22"/>
        </w:rPr>
        <w:t>nebyl zjištěn.</w:t>
      </w:r>
    </w:p>
    <w:p w14:paraId="219C0E45" w14:textId="77777777" w:rsidR="009941AE" w:rsidRPr="00395F14" w:rsidRDefault="009941AE" w:rsidP="009941AE">
      <w:pPr>
        <w:pStyle w:val="Seznam"/>
        <w:ind w:left="720" w:firstLine="0"/>
        <w:jc w:val="both"/>
        <w:rPr>
          <w:rFonts w:ascii="Calibri" w:hAnsi="Calibri"/>
          <w:sz w:val="22"/>
          <w:szCs w:val="22"/>
        </w:rPr>
      </w:pPr>
    </w:p>
    <w:p w14:paraId="6842D98B" w14:textId="745C7976" w:rsidR="002F62F6" w:rsidRDefault="00E67D23" w:rsidP="002F62F6">
      <w:pPr>
        <w:pStyle w:val="Seznam"/>
        <w:numPr>
          <w:ilvl w:val="0"/>
          <w:numId w:val="1"/>
        </w:numPr>
        <w:jc w:val="both"/>
        <w:rPr>
          <w:rFonts w:ascii="Calibri" w:hAnsi="Calibri"/>
          <w:sz w:val="22"/>
          <w:szCs w:val="22"/>
        </w:rPr>
      </w:pPr>
      <w:r w:rsidRPr="00400840">
        <w:rPr>
          <w:rFonts w:ascii="Calibri" w:hAnsi="Calibri"/>
          <w:sz w:val="22"/>
          <w:szCs w:val="22"/>
        </w:rPr>
        <w:t xml:space="preserve">Za pojistnou událost se považuje i poškození nebo zničení </w:t>
      </w:r>
      <w:r w:rsidR="002F62F6" w:rsidRPr="00400840">
        <w:rPr>
          <w:rFonts w:ascii="Calibri" w:hAnsi="Calibri"/>
          <w:sz w:val="22"/>
          <w:szCs w:val="22"/>
        </w:rPr>
        <w:t>pojištěné věci</w:t>
      </w:r>
      <w:r w:rsidRPr="00400840">
        <w:rPr>
          <w:rFonts w:ascii="Calibri" w:hAnsi="Calibri"/>
          <w:sz w:val="22"/>
          <w:szCs w:val="22"/>
        </w:rPr>
        <w:t xml:space="preserve"> způsobené jednáním pachatele směřu</w:t>
      </w:r>
      <w:r w:rsidR="008F3EA4" w:rsidRPr="00400840">
        <w:rPr>
          <w:rFonts w:ascii="Calibri" w:hAnsi="Calibri"/>
          <w:sz w:val="22"/>
          <w:szCs w:val="22"/>
        </w:rPr>
        <w:t>jícím k odcizení pojištěné věci.</w:t>
      </w:r>
    </w:p>
    <w:p w14:paraId="1AAC9C5B" w14:textId="77777777" w:rsidR="009941AE" w:rsidRPr="00400840" w:rsidRDefault="009941AE" w:rsidP="009941AE">
      <w:pPr>
        <w:pStyle w:val="Seznam"/>
        <w:ind w:left="720" w:firstLine="0"/>
        <w:jc w:val="both"/>
        <w:rPr>
          <w:rFonts w:ascii="Calibri" w:hAnsi="Calibri"/>
          <w:sz w:val="22"/>
          <w:szCs w:val="22"/>
        </w:rPr>
      </w:pPr>
    </w:p>
    <w:p w14:paraId="67A0929E" w14:textId="7ADC3B37" w:rsidR="002F62F6" w:rsidRDefault="002F62F6" w:rsidP="002F62F6">
      <w:pPr>
        <w:pStyle w:val="Seznam"/>
        <w:numPr>
          <w:ilvl w:val="0"/>
          <w:numId w:val="1"/>
        </w:numPr>
        <w:jc w:val="both"/>
        <w:rPr>
          <w:rFonts w:ascii="Calibri" w:hAnsi="Calibri"/>
          <w:sz w:val="22"/>
          <w:szCs w:val="22"/>
        </w:rPr>
      </w:pPr>
      <w:r w:rsidRPr="00400840">
        <w:rPr>
          <w:rFonts w:ascii="Calibri" w:hAnsi="Calibri"/>
          <w:sz w:val="22"/>
          <w:szCs w:val="22"/>
        </w:rPr>
        <w:t>Za pojistnou událost se považuje i poškození nebo zničení zábranných prostředků, které chrání pojištěnou věc, způsobené jednáním pachatele směřujícím k jejímu odcizení.</w:t>
      </w:r>
    </w:p>
    <w:p w14:paraId="6DD89820" w14:textId="77777777" w:rsidR="009941AE" w:rsidRPr="00400840" w:rsidRDefault="009941AE" w:rsidP="009941AE">
      <w:pPr>
        <w:pStyle w:val="Seznam"/>
        <w:ind w:left="0" w:firstLine="0"/>
        <w:jc w:val="both"/>
        <w:rPr>
          <w:rFonts w:ascii="Calibri" w:hAnsi="Calibri"/>
          <w:sz w:val="22"/>
          <w:szCs w:val="22"/>
        </w:rPr>
      </w:pPr>
    </w:p>
    <w:p w14:paraId="1625B189" w14:textId="229CBE51" w:rsidR="00E67D23" w:rsidRPr="009941AE" w:rsidRDefault="0086370D" w:rsidP="0086370D">
      <w:pPr>
        <w:pStyle w:val="Seznam"/>
        <w:numPr>
          <w:ilvl w:val="0"/>
          <w:numId w:val="1"/>
        </w:numPr>
        <w:jc w:val="both"/>
        <w:rPr>
          <w:rFonts w:ascii="Calibri" w:hAnsi="Calibri"/>
          <w:color w:val="FF0000"/>
          <w:sz w:val="22"/>
          <w:szCs w:val="22"/>
        </w:rPr>
      </w:pPr>
      <w:r w:rsidRPr="00400840">
        <w:rPr>
          <w:rFonts w:ascii="Calibri" w:hAnsi="Calibri"/>
          <w:sz w:val="22"/>
          <w:szCs w:val="22"/>
        </w:rPr>
        <w:t xml:space="preserve">Pojištění zahrnuje do výše pojistné částky, resp. sjednaného limitu plnění i náklady na odstranění škod na stavebních součástech, </w:t>
      </w:r>
      <w:r w:rsidR="00BA39FC" w:rsidRPr="00400840">
        <w:rPr>
          <w:rFonts w:ascii="Calibri" w:hAnsi="Calibri"/>
          <w:sz w:val="22"/>
          <w:szCs w:val="22"/>
        </w:rPr>
        <w:t xml:space="preserve">příslušenství, </w:t>
      </w:r>
      <w:r w:rsidRPr="00400840">
        <w:rPr>
          <w:rFonts w:ascii="Calibri" w:hAnsi="Calibri"/>
          <w:sz w:val="22"/>
          <w:szCs w:val="22"/>
        </w:rPr>
        <w:t>které vznikly v důsledku odcizení.</w:t>
      </w:r>
    </w:p>
    <w:p w14:paraId="723E0031" w14:textId="77777777" w:rsidR="009941AE" w:rsidRPr="00395F14" w:rsidRDefault="009941AE" w:rsidP="009941AE">
      <w:pPr>
        <w:pStyle w:val="Seznam"/>
        <w:ind w:left="0" w:firstLine="0"/>
        <w:jc w:val="both"/>
        <w:rPr>
          <w:rFonts w:ascii="Calibri" w:hAnsi="Calibri"/>
          <w:color w:val="FF0000"/>
          <w:sz w:val="22"/>
          <w:szCs w:val="22"/>
        </w:rPr>
      </w:pPr>
    </w:p>
    <w:p w14:paraId="3F188B18" w14:textId="09B95152" w:rsidR="00CD0007" w:rsidRDefault="00CD0007" w:rsidP="00CD0007">
      <w:pPr>
        <w:pStyle w:val="Seznam"/>
        <w:numPr>
          <w:ilvl w:val="0"/>
          <w:numId w:val="1"/>
        </w:numPr>
        <w:jc w:val="both"/>
        <w:rPr>
          <w:rFonts w:ascii="Calibri" w:hAnsi="Calibri"/>
          <w:sz w:val="22"/>
          <w:szCs w:val="22"/>
        </w:rPr>
      </w:pPr>
      <w:r w:rsidRPr="00400840">
        <w:rPr>
          <w:rFonts w:ascii="Calibri" w:hAnsi="Calibri"/>
          <w:sz w:val="22"/>
          <w:szCs w:val="22"/>
        </w:rPr>
        <w:t>Za uzavřený a uzamčený prostor z hlediska posouzení zabezpečení se posuzuje celá budova nebo konkrétní místnost (např. dílna, kancelář</w:t>
      </w:r>
      <w:r w:rsidR="00463B35" w:rsidRPr="00400840">
        <w:rPr>
          <w:rFonts w:ascii="Calibri" w:hAnsi="Calibri"/>
          <w:sz w:val="22"/>
          <w:szCs w:val="22"/>
        </w:rPr>
        <w:t>, laboratoř</w:t>
      </w:r>
      <w:r w:rsidRPr="00400840">
        <w:rPr>
          <w:rFonts w:ascii="Calibri" w:hAnsi="Calibri"/>
          <w:sz w:val="22"/>
          <w:szCs w:val="22"/>
        </w:rPr>
        <w:t xml:space="preserve"> apod.).</w:t>
      </w:r>
      <w:r w:rsidR="00FA1703">
        <w:rPr>
          <w:rFonts w:ascii="Calibri" w:hAnsi="Calibri"/>
          <w:sz w:val="22"/>
          <w:szCs w:val="22"/>
        </w:rPr>
        <w:t xml:space="preserve"> Prosklené plochy </w:t>
      </w:r>
      <w:r w:rsidR="00C56198">
        <w:rPr>
          <w:rFonts w:ascii="Calibri" w:hAnsi="Calibri"/>
          <w:sz w:val="22"/>
          <w:szCs w:val="22"/>
        </w:rPr>
        <w:t>nemusí být mechanicky ani jinak zabezpečeny.</w:t>
      </w:r>
    </w:p>
    <w:p w14:paraId="5DC6737C" w14:textId="77777777" w:rsidR="009941AE" w:rsidRPr="00400840" w:rsidRDefault="009941AE" w:rsidP="009941AE">
      <w:pPr>
        <w:pStyle w:val="Seznam"/>
        <w:ind w:left="0" w:firstLine="0"/>
        <w:jc w:val="both"/>
        <w:rPr>
          <w:rFonts w:ascii="Calibri" w:hAnsi="Calibri"/>
          <w:sz w:val="22"/>
          <w:szCs w:val="22"/>
        </w:rPr>
      </w:pPr>
    </w:p>
    <w:p w14:paraId="2B9CE5A5" w14:textId="124E8400" w:rsidR="00CD0007" w:rsidRDefault="00CD0007" w:rsidP="00CD0007">
      <w:pPr>
        <w:pStyle w:val="Seznam"/>
        <w:numPr>
          <w:ilvl w:val="0"/>
          <w:numId w:val="1"/>
        </w:numPr>
        <w:jc w:val="both"/>
        <w:rPr>
          <w:rFonts w:ascii="Calibri" w:hAnsi="Calibri"/>
          <w:sz w:val="22"/>
          <w:szCs w:val="22"/>
        </w:rPr>
      </w:pPr>
      <w:r w:rsidRPr="00400840">
        <w:rPr>
          <w:rFonts w:ascii="Calibri" w:hAnsi="Calibri"/>
          <w:sz w:val="22"/>
          <w:szCs w:val="22"/>
        </w:rPr>
        <w:t>Za uzavřený a uzamčený prostor se zároveň považuje i prostor ze sádrokartonových konstrukcí, prosklenými příčkami, sendvičových opláštění, jednoduchých opláštění profilovaným plechem apod.</w:t>
      </w:r>
    </w:p>
    <w:p w14:paraId="692AAAEC" w14:textId="77777777" w:rsidR="009941AE" w:rsidRPr="00400840" w:rsidRDefault="009941AE" w:rsidP="009941AE">
      <w:pPr>
        <w:pStyle w:val="Seznam"/>
        <w:ind w:left="0" w:firstLine="0"/>
        <w:jc w:val="both"/>
        <w:rPr>
          <w:rFonts w:ascii="Calibri" w:hAnsi="Calibri"/>
          <w:sz w:val="22"/>
          <w:szCs w:val="22"/>
        </w:rPr>
      </w:pPr>
    </w:p>
    <w:p w14:paraId="3D22C12F" w14:textId="0CA424A3" w:rsidR="00CF1DB5" w:rsidRDefault="00CF1DB5" w:rsidP="00CF1DB5">
      <w:pPr>
        <w:numPr>
          <w:ilvl w:val="0"/>
          <w:numId w:val="1"/>
        </w:numPr>
        <w:spacing w:after="0" w:line="240" w:lineRule="auto"/>
        <w:jc w:val="both"/>
        <w:rPr>
          <w:rFonts w:eastAsia="Times New Roman"/>
          <w:lang w:eastAsia="cs-CZ"/>
        </w:rPr>
      </w:pPr>
      <w:r w:rsidRPr="00400840">
        <w:rPr>
          <w:rFonts w:eastAsia="Times New Roman"/>
          <w:lang w:eastAsia="cs-CZ"/>
        </w:rPr>
        <w:t>Za uzamčené dveře nebo vrata se považují také dveře, požární dveře, prosklené dveře, vrata a mříže uzavřené elektromechanickým ovládáním i elektrickým pohonem apod.</w:t>
      </w:r>
    </w:p>
    <w:p w14:paraId="101E3A50" w14:textId="77777777" w:rsidR="009941AE" w:rsidRPr="00400840" w:rsidRDefault="009941AE" w:rsidP="009941AE">
      <w:pPr>
        <w:spacing w:after="0" w:line="240" w:lineRule="auto"/>
        <w:jc w:val="both"/>
        <w:rPr>
          <w:rFonts w:eastAsia="Times New Roman"/>
          <w:lang w:eastAsia="cs-CZ"/>
        </w:rPr>
      </w:pPr>
    </w:p>
    <w:p w14:paraId="795A0488" w14:textId="5E229EA5" w:rsidR="00AB7C51" w:rsidRPr="009941AE" w:rsidRDefault="00AB7C51" w:rsidP="00CF1DB5">
      <w:pPr>
        <w:numPr>
          <w:ilvl w:val="0"/>
          <w:numId w:val="1"/>
        </w:numPr>
        <w:spacing w:after="0" w:line="240" w:lineRule="auto"/>
        <w:jc w:val="both"/>
        <w:rPr>
          <w:rFonts w:eastAsia="Times New Roman"/>
          <w:color w:val="FF0000"/>
          <w:lang w:eastAsia="cs-CZ"/>
        </w:rPr>
      </w:pPr>
      <w:r w:rsidRPr="00400840">
        <w:rPr>
          <w:rFonts w:eastAsia="Times New Roman"/>
          <w:lang w:eastAsia="cs-CZ"/>
        </w:rPr>
        <w:t>Za uzavřený a uzamčený prostor se považuje také vnitřní prostor řádně uzavřeného a uzamčeného vozidla.</w:t>
      </w:r>
    </w:p>
    <w:p w14:paraId="712D0A43" w14:textId="77777777" w:rsidR="009941AE" w:rsidRPr="00400840" w:rsidRDefault="009941AE" w:rsidP="009941AE">
      <w:pPr>
        <w:spacing w:after="0" w:line="240" w:lineRule="auto"/>
        <w:jc w:val="both"/>
        <w:rPr>
          <w:rFonts w:eastAsia="Times New Roman"/>
          <w:color w:val="FF0000"/>
          <w:lang w:eastAsia="cs-CZ"/>
        </w:rPr>
      </w:pPr>
    </w:p>
    <w:p w14:paraId="0D6CDB28" w14:textId="194366CA" w:rsidR="00CD0007" w:rsidRDefault="00D86DBE" w:rsidP="00D86DBE">
      <w:pPr>
        <w:numPr>
          <w:ilvl w:val="0"/>
          <w:numId w:val="1"/>
        </w:numPr>
        <w:spacing w:after="0" w:line="240" w:lineRule="auto"/>
        <w:jc w:val="both"/>
        <w:rPr>
          <w:rFonts w:eastAsia="Times New Roman"/>
          <w:lang w:eastAsia="cs-CZ"/>
        </w:rPr>
      </w:pPr>
      <w:r w:rsidRPr="00400840">
        <w:rPr>
          <w:rFonts w:eastAsia="Times New Roman"/>
          <w:lang w:eastAsia="cs-CZ"/>
        </w:rPr>
        <w:t>V případě pojistného nebezpečí odcizení loupeží je dostačující pro poskytnutí pojistného plnění splnění následující podmínky: přivlast</w:t>
      </w:r>
      <w:r w:rsidR="00B43CBE" w:rsidRPr="00400840">
        <w:rPr>
          <w:rFonts w:eastAsia="Times New Roman"/>
          <w:lang w:eastAsia="cs-CZ"/>
        </w:rPr>
        <w:t>nění si předmětu pojištění, jeho</w:t>
      </w:r>
      <w:r w:rsidRPr="00400840">
        <w:rPr>
          <w:rFonts w:eastAsia="Times New Roman"/>
          <w:lang w:eastAsia="cs-CZ"/>
        </w:rPr>
        <w:t xml:space="preserve"> části nebo jeho příslušenství tak, že pachatel použil proti pojištěnému nebo jiné osobě pověřené pojištěným násilí nebo pohrůžky bezprostředního násilí v úmyslu zmocnit se daného předmětu pojištění.</w:t>
      </w:r>
    </w:p>
    <w:p w14:paraId="20DD83BF" w14:textId="77777777" w:rsidR="003E7A9A" w:rsidRDefault="003E7A9A" w:rsidP="003E7A9A">
      <w:pPr>
        <w:spacing w:after="0" w:line="240" w:lineRule="auto"/>
        <w:jc w:val="both"/>
        <w:rPr>
          <w:rFonts w:eastAsia="Times New Roman"/>
          <w:lang w:eastAsia="cs-CZ"/>
        </w:rPr>
      </w:pPr>
    </w:p>
    <w:p w14:paraId="66FD2AC4" w14:textId="77777777" w:rsidR="003E7A9A" w:rsidRDefault="003E7A9A" w:rsidP="003E7A9A">
      <w:pPr>
        <w:pStyle w:val="Seznam"/>
        <w:numPr>
          <w:ilvl w:val="0"/>
          <w:numId w:val="1"/>
        </w:numPr>
        <w:jc w:val="both"/>
        <w:rPr>
          <w:rFonts w:ascii="Calibri" w:hAnsi="Calibri"/>
          <w:sz w:val="22"/>
          <w:szCs w:val="22"/>
        </w:rPr>
      </w:pPr>
      <w:r w:rsidRPr="00400840">
        <w:rPr>
          <w:rFonts w:ascii="Calibri" w:hAnsi="Calibri"/>
          <w:sz w:val="22"/>
          <w:szCs w:val="22"/>
        </w:rPr>
        <w:lastRenderedPageBreak/>
        <w:t xml:space="preserve">Volné prostranství – za překonání překážky chránící pojištěnou věc před odcizením se rozumí také překážka vytvořená vlastnostmi věci – velká hmotnost, nadměrné rozměry, nutná demontáž apod. </w:t>
      </w:r>
    </w:p>
    <w:p w14:paraId="195E7CC5" w14:textId="77777777" w:rsidR="003E7A9A" w:rsidRPr="00400840" w:rsidRDefault="003E7A9A" w:rsidP="003E7A9A">
      <w:pPr>
        <w:pStyle w:val="Seznam"/>
        <w:ind w:left="0" w:firstLine="0"/>
        <w:jc w:val="both"/>
        <w:rPr>
          <w:rFonts w:ascii="Calibri" w:hAnsi="Calibri"/>
          <w:sz w:val="22"/>
          <w:szCs w:val="22"/>
        </w:rPr>
      </w:pPr>
    </w:p>
    <w:p w14:paraId="58E543B1" w14:textId="77777777" w:rsidR="003E7A9A" w:rsidRDefault="003E7A9A" w:rsidP="003E7A9A">
      <w:pPr>
        <w:pStyle w:val="Seznam"/>
        <w:numPr>
          <w:ilvl w:val="0"/>
          <w:numId w:val="1"/>
        </w:numPr>
        <w:jc w:val="both"/>
        <w:rPr>
          <w:rFonts w:ascii="Calibri" w:hAnsi="Calibri"/>
          <w:sz w:val="22"/>
          <w:szCs w:val="22"/>
        </w:rPr>
      </w:pPr>
      <w:r w:rsidRPr="00400840">
        <w:rPr>
          <w:rFonts w:ascii="Calibri" w:hAnsi="Calibri"/>
          <w:sz w:val="22"/>
          <w:szCs w:val="22"/>
        </w:rPr>
        <w:t>Jsou-li předmětem pojištění věci zaměstnanců, pak se pojištění vztahuje na věci, které zaměstnanci pojištěného obvykle nosí do práce nebo které se nacházejí na místě pojištění v souvislosti s výkonem povolání v zájmu zaměstnavatele.</w:t>
      </w:r>
      <w:r>
        <w:rPr>
          <w:rFonts w:ascii="Calibri" w:hAnsi="Calibri"/>
          <w:sz w:val="22"/>
          <w:szCs w:val="22"/>
        </w:rPr>
        <w:t xml:space="preserve"> Věcmi zaměstnanců jsou i jízdní kola.</w:t>
      </w:r>
    </w:p>
    <w:p w14:paraId="0F009E82" w14:textId="77777777" w:rsidR="00A9160D" w:rsidRDefault="00A9160D" w:rsidP="00A9160D">
      <w:pPr>
        <w:pStyle w:val="Odstavecseseznamem"/>
        <w:rPr>
          <w:rFonts w:eastAsia="Times New Roman"/>
          <w:lang w:eastAsia="cs-CZ"/>
        </w:rPr>
      </w:pPr>
    </w:p>
    <w:p w14:paraId="49CB1565" w14:textId="77777777" w:rsidR="00A9160D" w:rsidRDefault="00A9160D" w:rsidP="00A9160D">
      <w:pPr>
        <w:spacing w:after="0" w:line="240" w:lineRule="auto"/>
        <w:ind w:left="720"/>
        <w:jc w:val="both"/>
        <w:rPr>
          <w:rFonts w:eastAsia="Times New Roman"/>
          <w:lang w:eastAsia="cs-CZ"/>
        </w:rPr>
      </w:pPr>
    </w:p>
    <w:p w14:paraId="2EF5C682" w14:textId="359EC17E" w:rsidR="007F7B43" w:rsidRPr="00A9160D" w:rsidRDefault="00805114" w:rsidP="00A9160D">
      <w:pPr>
        <w:tabs>
          <w:tab w:val="left" w:pos="2835"/>
        </w:tabs>
        <w:spacing w:after="0" w:line="240" w:lineRule="auto"/>
        <w:jc w:val="both"/>
        <w:rPr>
          <w:b/>
        </w:rPr>
      </w:pPr>
      <w:r>
        <w:rPr>
          <w:b/>
        </w:rPr>
        <w:t>7</w:t>
      </w:r>
      <w:r w:rsidR="00A9160D" w:rsidRPr="00A9160D">
        <w:rPr>
          <w:b/>
        </w:rPr>
        <w:t>.</w:t>
      </w:r>
      <w:r w:rsidR="004067D3">
        <w:rPr>
          <w:b/>
        </w:rPr>
        <w:t>3</w:t>
      </w:r>
      <w:r w:rsidR="00A9160D" w:rsidRPr="00A9160D">
        <w:rPr>
          <w:b/>
        </w:rPr>
        <w:t>.</w:t>
      </w:r>
      <w:r>
        <w:rPr>
          <w:b/>
        </w:rPr>
        <w:t xml:space="preserve"> Smluvní </w:t>
      </w:r>
      <w:proofErr w:type="gramStart"/>
      <w:r>
        <w:rPr>
          <w:b/>
        </w:rPr>
        <w:t>ujednání</w:t>
      </w:r>
      <w:r w:rsidR="00A9160D">
        <w:rPr>
          <w:b/>
        </w:rPr>
        <w:t xml:space="preserve">  pro</w:t>
      </w:r>
      <w:proofErr w:type="gramEnd"/>
      <w:r w:rsidR="00A9160D">
        <w:rPr>
          <w:b/>
        </w:rPr>
        <w:t xml:space="preserve"> způsoby </w:t>
      </w:r>
      <w:proofErr w:type="gramStart"/>
      <w:r w:rsidR="00A9160D">
        <w:rPr>
          <w:b/>
        </w:rPr>
        <w:t xml:space="preserve">zabezpečení </w:t>
      </w:r>
      <w:r w:rsidR="00A9160D" w:rsidRPr="00A9160D">
        <w:rPr>
          <w:b/>
        </w:rPr>
        <w:t>:</w:t>
      </w:r>
      <w:proofErr w:type="gramEnd"/>
    </w:p>
    <w:p w14:paraId="5BA9053B" w14:textId="2165D9B7" w:rsidR="00A9160D" w:rsidRDefault="00A9160D" w:rsidP="007F7B43">
      <w:pPr>
        <w:spacing w:after="0" w:line="240" w:lineRule="auto"/>
        <w:jc w:val="both"/>
        <w:rPr>
          <w:rFonts w:eastAsia="Times New Roman"/>
          <w:lang w:eastAsia="cs-CZ"/>
        </w:rPr>
      </w:pPr>
    </w:p>
    <w:p w14:paraId="5B5E0211" w14:textId="45C4622D" w:rsidR="00A9160D" w:rsidRDefault="00A9160D" w:rsidP="007F7B43">
      <w:pPr>
        <w:spacing w:after="0" w:line="240" w:lineRule="auto"/>
        <w:jc w:val="both"/>
        <w:rPr>
          <w:rFonts w:eastAsia="Times New Roman"/>
          <w:lang w:eastAsia="cs-CZ"/>
        </w:rPr>
      </w:pPr>
      <w:r>
        <w:rPr>
          <w:rFonts w:eastAsia="Times New Roman"/>
          <w:lang w:eastAsia="cs-CZ"/>
        </w:rPr>
        <w:t xml:space="preserve">Následující ujednání nemusí být v návrhu pojistné smlouvy uvedena doslovně, zadavatel akceptuje </w:t>
      </w:r>
      <w:proofErr w:type="gramStart"/>
      <w:r>
        <w:rPr>
          <w:rFonts w:eastAsia="Times New Roman"/>
          <w:lang w:eastAsia="cs-CZ"/>
        </w:rPr>
        <w:t>odchylky  textacích</w:t>
      </w:r>
      <w:proofErr w:type="gramEnd"/>
      <w:r w:rsidR="00853157">
        <w:rPr>
          <w:rFonts w:eastAsia="Times New Roman"/>
          <w:lang w:eastAsia="cs-CZ"/>
        </w:rPr>
        <w:t xml:space="preserve"> tak, aby odpovídaly všeobecným podmínkám používaných jednotlivými uchazeči. </w:t>
      </w:r>
      <w:r>
        <w:rPr>
          <w:rFonts w:eastAsia="Times New Roman"/>
          <w:lang w:eastAsia="cs-CZ"/>
        </w:rPr>
        <w:t>Musí být však zachován</w:t>
      </w:r>
      <w:r w:rsidR="00853157">
        <w:rPr>
          <w:rFonts w:eastAsia="Times New Roman"/>
          <w:lang w:eastAsia="cs-CZ"/>
        </w:rPr>
        <w:t>y</w:t>
      </w:r>
      <w:r>
        <w:rPr>
          <w:rFonts w:eastAsia="Times New Roman"/>
          <w:lang w:eastAsia="cs-CZ"/>
        </w:rPr>
        <w:t xml:space="preserve"> faktick</w:t>
      </w:r>
      <w:r w:rsidR="00853157">
        <w:rPr>
          <w:rFonts w:eastAsia="Times New Roman"/>
          <w:lang w:eastAsia="cs-CZ"/>
        </w:rPr>
        <w:t>é</w:t>
      </w:r>
      <w:r>
        <w:rPr>
          <w:rFonts w:eastAsia="Times New Roman"/>
          <w:lang w:eastAsia="cs-CZ"/>
        </w:rPr>
        <w:t xml:space="preserve"> požadavk</w:t>
      </w:r>
      <w:r w:rsidR="00853157">
        <w:rPr>
          <w:rFonts w:eastAsia="Times New Roman"/>
          <w:lang w:eastAsia="cs-CZ"/>
        </w:rPr>
        <w:t xml:space="preserve">y na technické způsoby </w:t>
      </w:r>
      <w:proofErr w:type="gramStart"/>
      <w:r w:rsidR="00853157">
        <w:rPr>
          <w:rFonts w:eastAsia="Times New Roman"/>
          <w:lang w:eastAsia="cs-CZ"/>
        </w:rPr>
        <w:t>zabezpečení  dle</w:t>
      </w:r>
      <w:proofErr w:type="gramEnd"/>
      <w:r w:rsidR="00853157">
        <w:rPr>
          <w:rFonts w:eastAsia="Times New Roman"/>
          <w:lang w:eastAsia="cs-CZ"/>
        </w:rPr>
        <w:t xml:space="preserve"> jednotlivých předmětů, limitů a místa.</w:t>
      </w:r>
      <w:r>
        <w:rPr>
          <w:rFonts w:eastAsia="Times New Roman"/>
          <w:lang w:eastAsia="cs-CZ"/>
        </w:rPr>
        <w:t xml:space="preserve">  </w:t>
      </w:r>
    </w:p>
    <w:p w14:paraId="5E60251A" w14:textId="77777777" w:rsidR="00A9160D" w:rsidRPr="00400840" w:rsidRDefault="00A9160D" w:rsidP="007F7B43">
      <w:pPr>
        <w:spacing w:after="0" w:line="240" w:lineRule="auto"/>
        <w:jc w:val="both"/>
        <w:rPr>
          <w:rFonts w:eastAsia="Times New Roman"/>
          <w:lang w:eastAsia="cs-CZ"/>
        </w:rPr>
      </w:pPr>
    </w:p>
    <w:p w14:paraId="242049DA" w14:textId="6F485300" w:rsidR="009B1B40" w:rsidRPr="009941AE" w:rsidRDefault="00214048" w:rsidP="009B1B40">
      <w:pPr>
        <w:pStyle w:val="Seznam"/>
        <w:numPr>
          <w:ilvl w:val="0"/>
          <w:numId w:val="1"/>
        </w:numPr>
        <w:jc w:val="both"/>
        <w:rPr>
          <w:rFonts w:ascii="Calibri" w:hAnsi="Calibri"/>
          <w:color w:val="FF0000"/>
          <w:sz w:val="22"/>
          <w:szCs w:val="22"/>
        </w:rPr>
      </w:pPr>
      <w:r w:rsidRPr="00400840">
        <w:rPr>
          <w:rFonts w:ascii="Calibri" w:hAnsi="Calibri"/>
          <w:b/>
          <w:sz w:val="22"/>
          <w:szCs w:val="22"/>
          <w:u w:val="single"/>
        </w:rPr>
        <w:t xml:space="preserve">Pro veškeré </w:t>
      </w:r>
      <w:r w:rsidR="006B4D93">
        <w:rPr>
          <w:rFonts w:ascii="Calibri" w:hAnsi="Calibri"/>
          <w:b/>
          <w:sz w:val="22"/>
          <w:szCs w:val="22"/>
          <w:u w:val="single"/>
        </w:rPr>
        <w:t xml:space="preserve">stavební součásti </w:t>
      </w:r>
      <w:r w:rsidRPr="00400840">
        <w:rPr>
          <w:rFonts w:ascii="Calibri" w:hAnsi="Calibri"/>
          <w:b/>
          <w:sz w:val="22"/>
          <w:szCs w:val="22"/>
          <w:u w:val="single"/>
        </w:rPr>
        <w:t>nemovitost</w:t>
      </w:r>
      <w:r w:rsidR="006B4D93">
        <w:rPr>
          <w:rFonts w:ascii="Calibri" w:hAnsi="Calibri"/>
          <w:b/>
          <w:sz w:val="22"/>
          <w:szCs w:val="22"/>
          <w:u w:val="single"/>
        </w:rPr>
        <w:t>í</w:t>
      </w:r>
      <w:r w:rsidR="004C4AE7" w:rsidRPr="00400840">
        <w:rPr>
          <w:rFonts w:ascii="Calibri" w:hAnsi="Calibri"/>
          <w:b/>
          <w:sz w:val="22"/>
          <w:szCs w:val="22"/>
          <w:u w:val="single"/>
        </w:rPr>
        <w:t xml:space="preserve"> (včetně staveb)</w:t>
      </w:r>
      <w:r w:rsidRPr="00400840">
        <w:rPr>
          <w:rFonts w:ascii="Calibri" w:hAnsi="Calibri"/>
          <w:b/>
          <w:sz w:val="22"/>
          <w:szCs w:val="22"/>
        </w:rPr>
        <w:t xml:space="preserve"> </w:t>
      </w:r>
      <w:r w:rsidRPr="00400840">
        <w:rPr>
          <w:rFonts w:ascii="Calibri" w:hAnsi="Calibri"/>
          <w:sz w:val="22"/>
          <w:szCs w:val="22"/>
        </w:rPr>
        <w:t>je v případě pojistného nebezpečí krádež</w:t>
      </w:r>
      <w:r w:rsidR="00A03740" w:rsidRPr="00400840">
        <w:rPr>
          <w:rFonts w:ascii="Calibri" w:hAnsi="Calibri"/>
          <w:sz w:val="22"/>
          <w:szCs w:val="22"/>
        </w:rPr>
        <w:t xml:space="preserve"> vloupáním</w:t>
      </w:r>
      <w:r w:rsidRPr="00400840">
        <w:rPr>
          <w:rFonts w:ascii="Calibri" w:hAnsi="Calibri"/>
          <w:sz w:val="22"/>
          <w:szCs w:val="22"/>
        </w:rPr>
        <w:t xml:space="preserve">, při které pachatel prokazatelně překonal překážky chránící pojištěnou věc před odcizením, postačující případ, kdy se pachatel zmocnil pojištěné věci překonáním jejího konstrukčního upevnění (rozebíratelné nebo nerozebíratelné pevné spojení pojištěné věci se stavbou). </w:t>
      </w:r>
    </w:p>
    <w:p w14:paraId="44A508DB" w14:textId="77777777" w:rsidR="009941AE" w:rsidRPr="00400840" w:rsidRDefault="009941AE" w:rsidP="009941AE">
      <w:pPr>
        <w:pStyle w:val="Seznam"/>
        <w:ind w:left="0" w:firstLine="0"/>
        <w:jc w:val="both"/>
        <w:rPr>
          <w:rFonts w:ascii="Calibri" w:hAnsi="Calibri"/>
          <w:color w:val="FF0000"/>
          <w:sz w:val="22"/>
          <w:szCs w:val="22"/>
        </w:rPr>
      </w:pPr>
    </w:p>
    <w:p w14:paraId="05BDEC24" w14:textId="77777777" w:rsidR="00214048" w:rsidRPr="00400840" w:rsidRDefault="009B1B40" w:rsidP="009B1B40">
      <w:pPr>
        <w:pStyle w:val="Seznam"/>
        <w:numPr>
          <w:ilvl w:val="0"/>
          <w:numId w:val="1"/>
        </w:numPr>
        <w:jc w:val="both"/>
        <w:rPr>
          <w:rFonts w:ascii="Calibri" w:hAnsi="Calibri"/>
          <w:color w:val="FF0000"/>
          <w:sz w:val="22"/>
          <w:szCs w:val="22"/>
        </w:rPr>
      </w:pPr>
      <w:r w:rsidRPr="00400840">
        <w:rPr>
          <w:rFonts w:ascii="Calibri" w:hAnsi="Calibri"/>
          <w:b/>
          <w:sz w:val="22"/>
          <w:szCs w:val="22"/>
          <w:u w:val="single"/>
        </w:rPr>
        <w:t>P</w:t>
      </w:r>
      <w:r w:rsidR="005713AA" w:rsidRPr="00400840">
        <w:rPr>
          <w:rFonts w:ascii="Calibri" w:hAnsi="Calibri"/>
          <w:b/>
          <w:sz w:val="22"/>
          <w:szCs w:val="22"/>
          <w:u w:val="single"/>
        </w:rPr>
        <w:t xml:space="preserve">ro veškerý movitý majetek vč. </w:t>
      </w:r>
      <w:r w:rsidR="00214048" w:rsidRPr="00400840">
        <w:rPr>
          <w:rFonts w:ascii="Calibri" w:hAnsi="Calibri"/>
          <w:b/>
          <w:sz w:val="22"/>
          <w:szCs w:val="22"/>
          <w:u w:val="single"/>
        </w:rPr>
        <w:t xml:space="preserve">zásob, </w:t>
      </w:r>
      <w:r w:rsidR="0066271E" w:rsidRPr="00400840">
        <w:rPr>
          <w:rFonts w:ascii="Calibri" w:hAnsi="Calibri"/>
          <w:b/>
          <w:sz w:val="22"/>
          <w:szCs w:val="22"/>
          <w:u w:val="single"/>
        </w:rPr>
        <w:t xml:space="preserve">dlouhodobého nehmotného majetku </w:t>
      </w:r>
      <w:r w:rsidR="00214048" w:rsidRPr="00400840">
        <w:rPr>
          <w:rFonts w:ascii="Calibri" w:hAnsi="Calibri"/>
          <w:b/>
          <w:sz w:val="22"/>
          <w:szCs w:val="22"/>
          <w:u w:val="single"/>
        </w:rPr>
        <w:t>apod.</w:t>
      </w:r>
      <w:r w:rsidR="00214048" w:rsidRPr="00400840">
        <w:rPr>
          <w:rFonts w:ascii="Calibri" w:hAnsi="Calibri"/>
          <w:b/>
          <w:sz w:val="22"/>
          <w:szCs w:val="22"/>
        </w:rPr>
        <w:t xml:space="preserve"> se sjedn</w:t>
      </w:r>
      <w:r w:rsidR="004136E1" w:rsidRPr="00400840">
        <w:rPr>
          <w:rFonts w:ascii="Calibri" w:hAnsi="Calibri"/>
          <w:b/>
          <w:sz w:val="22"/>
          <w:szCs w:val="22"/>
        </w:rPr>
        <w:t>ávají následující limity plnění a stupně zabezpečení v případě krádeže vloupáním:</w:t>
      </w:r>
    </w:p>
    <w:p w14:paraId="6218E08A" w14:textId="77777777" w:rsidR="00214048" w:rsidRPr="00400840" w:rsidRDefault="00214048" w:rsidP="005B3B50">
      <w:pPr>
        <w:pStyle w:val="Seznam"/>
        <w:ind w:left="720" w:firstLine="0"/>
        <w:jc w:val="both"/>
        <w:rPr>
          <w:rFonts w:ascii="Calibri" w:hAnsi="Calibri"/>
          <w:sz w:val="22"/>
          <w:szCs w:val="22"/>
        </w:rPr>
      </w:pPr>
      <w:r w:rsidRPr="00400840">
        <w:rPr>
          <w:rFonts w:ascii="Calibri" w:hAnsi="Calibri"/>
          <w:sz w:val="22"/>
          <w:szCs w:val="22"/>
        </w:rPr>
        <w:t xml:space="preserve">Pro limit plnění </w:t>
      </w:r>
      <w:r w:rsidRPr="00400840">
        <w:rPr>
          <w:rFonts w:ascii="Calibri" w:hAnsi="Calibri"/>
          <w:b/>
          <w:sz w:val="22"/>
          <w:szCs w:val="22"/>
        </w:rPr>
        <w:t>do 100 000 Kč</w:t>
      </w:r>
      <w:r w:rsidRPr="00400840">
        <w:rPr>
          <w:rFonts w:ascii="Calibri" w:hAnsi="Calibri"/>
          <w:sz w:val="22"/>
          <w:szCs w:val="22"/>
        </w:rPr>
        <w:t xml:space="preserve"> je dostačující následující způsob zabezpečení:</w:t>
      </w:r>
    </w:p>
    <w:p w14:paraId="6F6B0890" w14:textId="77777777" w:rsidR="00214048" w:rsidRPr="00400840" w:rsidRDefault="00214048" w:rsidP="0077758E">
      <w:pPr>
        <w:pStyle w:val="Seznam"/>
        <w:ind w:left="708" w:firstLine="0"/>
        <w:jc w:val="both"/>
        <w:rPr>
          <w:rFonts w:ascii="Calibri" w:hAnsi="Calibri"/>
          <w:sz w:val="22"/>
          <w:szCs w:val="22"/>
        </w:rPr>
      </w:pPr>
      <w:r w:rsidRPr="00400840">
        <w:rPr>
          <w:rFonts w:ascii="Calibri" w:hAnsi="Calibri"/>
          <w:sz w:val="22"/>
          <w:szCs w:val="22"/>
        </w:rPr>
        <w:t>Pojištěné věci jsou v době pojistné události umístěné v</w:t>
      </w:r>
      <w:r w:rsidR="008023EA" w:rsidRPr="00400840">
        <w:rPr>
          <w:rFonts w:ascii="Calibri" w:hAnsi="Calibri"/>
          <w:sz w:val="22"/>
          <w:szCs w:val="22"/>
        </w:rPr>
        <w:t> uzavřeném a</w:t>
      </w:r>
      <w:r w:rsidR="00646318" w:rsidRPr="00400840">
        <w:rPr>
          <w:rFonts w:ascii="Calibri" w:hAnsi="Calibri"/>
          <w:sz w:val="22"/>
          <w:szCs w:val="22"/>
        </w:rPr>
        <w:t> </w:t>
      </w:r>
      <w:r w:rsidRPr="00400840">
        <w:rPr>
          <w:rFonts w:ascii="Calibri" w:hAnsi="Calibri"/>
          <w:sz w:val="22"/>
          <w:szCs w:val="22"/>
        </w:rPr>
        <w:t xml:space="preserve">uzamčeném prostoru, vstupní dveře, kde je běžné zasklení, je toto postačující pro plnění v případě </w:t>
      </w:r>
      <w:r w:rsidR="00B43CBE" w:rsidRPr="00400840">
        <w:rPr>
          <w:rFonts w:ascii="Calibri" w:hAnsi="Calibri"/>
          <w:sz w:val="22"/>
          <w:szCs w:val="22"/>
        </w:rPr>
        <w:t>krádeže</w:t>
      </w:r>
      <w:r w:rsidRPr="00400840">
        <w:rPr>
          <w:rFonts w:ascii="Calibri" w:hAnsi="Calibri"/>
          <w:sz w:val="22"/>
          <w:szCs w:val="22"/>
        </w:rPr>
        <w:t>, prosklené plochy nemusí být mechanicky zabezpečeny, uzamčený prostor je opatřen jedním zámkem na vstupech.</w:t>
      </w:r>
    </w:p>
    <w:p w14:paraId="783474DE" w14:textId="4A34DFCF" w:rsidR="00214048" w:rsidRPr="00400840" w:rsidRDefault="00214048" w:rsidP="005B3B50">
      <w:pPr>
        <w:pStyle w:val="Seznam"/>
        <w:ind w:left="720" w:firstLine="0"/>
        <w:jc w:val="both"/>
        <w:rPr>
          <w:rFonts w:ascii="Calibri" w:hAnsi="Calibri"/>
          <w:sz w:val="22"/>
          <w:szCs w:val="22"/>
        </w:rPr>
      </w:pPr>
      <w:r w:rsidRPr="00400840">
        <w:rPr>
          <w:rFonts w:ascii="Calibri" w:hAnsi="Calibri"/>
          <w:sz w:val="22"/>
          <w:szCs w:val="22"/>
        </w:rPr>
        <w:t xml:space="preserve">Pro limit pojistného plnění </w:t>
      </w:r>
      <w:r w:rsidRPr="00400840">
        <w:rPr>
          <w:rFonts w:ascii="Calibri" w:hAnsi="Calibri"/>
          <w:b/>
          <w:sz w:val="22"/>
          <w:szCs w:val="22"/>
        </w:rPr>
        <w:t xml:space="preserve">do </w:t>
      </w:r>
      <w:r w:rsidR="006D746B">
        <w:rPr>
          <w:rFonts w:ascii="Calibri" w:hAnsi="Calibri"/>
          <w:b/>
          <w:sz w:val="22"/>
          <w:szCs w:val="22"/>
        </w:rPr>
        <w:t>3</w:t>
      </w:r>
      <w:r w:rsidRPr="00400840">
        <w:rPr>
          <w:rFonts w:ascii="Calibri" w:hAnsi="Calibri"/>
          <w:b/>
          <w:sz w:val="22"/>
          <w:szCs w:val="22"/>
        </w:rPr>
        <w:t>00 000 Kč</w:t>
      </w:r>
      <w:r w:rsidRPr="00400840">
        <w:rPr>
          <w:rFonts w:ascii="Calibri" w:hAnsi="Calibri"/>
          <w:sz w:val="22"/>
          <w:szCs w:val="22"/>
        </w:rPr>
        <w:t xml:space="preserve"> je dostačující následující způsob zabezpečení:</w:t>
      </w:r>
    </w:p>
    <w:p w14:paraId="0F7472E5" w14:textId="20A564A2" w:rsidR="00214048" w:rsidRPr="00400840" w:rsidRDefault="00214048" w:rsidP="0077758E">
      <w:pPr>
        <w:pStyle w:val="Seznam"/>
        <w:ind w:left="720" w:firstLine="0"/>
        <w:jc w:val="both"/>
        <w:rPr>
          <w:rFonts w:ascii="Calibri" w:hAnsi="Calibri"/>
          <w:sz w:val="22"/>
          <w:szCs w:val="22"/>
        </w:rPr>
      </w:pPr>
      <w:r w:rsidRPr="00400840">
        <w:rPr>
          <w:rFonts w:ascii="Calibri" w:hAnsi="Calibri"/>
          <w:sz w:val="22"/>
          <w:szCs w:val="22"/>
        </w:rPr>
        <w:t>Pojištěné věci jsou v době pojistné události umístěné v</w:t>
      </w:r>
      <w:r w:rsidR="00DB5FEF" w:rsidRPr="00400840">
        <w:rPr>
          <w:rFonts w:ascii="Calibri" w:hAnsi="Calibri"/>
          <w:sz w:val="22"/>
          <w:szCs w:val="22"/>
        </w:rPr>
        <w:t xml:space="preserve"> uzavřeném a </w:t>
      </w:r>
      <w:r w:rsidRPr="00400840">
        <w:rPr>
          <w:rFonts w:ascii="Calibri" w:hAnsi="Calibri"/>
          <w:sz w:val="22"/>
          <w:szCs w:val="22"/>
        </w:rPr>
        <w:t>uzamčeném prostoru, který je uzamčen zámkem s</w:t>
      </w:r>
      <w:r w:rsidR="00305D37">
        <w:rPr>
          <w:rFonts w:ascii="Calibri" w:hAnsi="Calibri"/>
          <w:sz w:val="22"/>
          <w:szCs w:val="22"/>
        </w:rPr>
        <w:t xml:space="preserve"> bezpečnostním </w:t>
      </w:r>
      <w:r w:rsidR="00483134">
        <w:rPr>
          <w:rFonts w:ascii="Calibri" w:hAnsi="Calibri"/>
          <w:sz w:val="22"/>
          <w:szCs w:val="22"/>
        </w:rPr>
        <w:t>c</w:t>
      </w:r>
      <w:r w:rsidRPr="00400840">
        <w:rPr>
          <w:rFonts w:ascii="Calibri" w:hAnsi="Calibri"/>
          <w:sz w:val="22"/>
          <w:szCs w:val="22"/>
        </w:rPr>
        <w:t>ylindrickou vložkou</w:t>
      </w:r>
      <w:r w:rsidR="006B4D93">
        <w:rPr>
          <w:rFonts w:ascii="Calibri" w:hAnsi="Calibri"/>
          <w:sz w:val="22"/>
          <w:szCs w:val="22"/>
        </w:rPr>
        <w:t xml:space="preserve"> nebo</w:t>
      </w:r>
      <w:r w:rsidRPr="00400840">
        <w:rPr>
          <w:rFonts w:ascii="Calibri" w:hAnsi="Calibri"/>
          <w:sz w:val="22"/>
          <w:szCs w:val="22"/>
        </w:rPr>
        <w:t xml:space="preserve"> bezpečnostním visacím zámkem. Okno či jiná prosklená část není opatře</w:t>
      </w:r>
      <w:r w:rsidR="00F753CB" w:rsidRPr="00400840">
        <w:rPr>
          <w:rFonts w:ascii="Calibri" w:hAnsi="Calibri"/>
          <w:sz w:val="22"/>
          <w:szCs w:val="22"/>
        </w:rPr>
        <w:t xml:space="preserve">na okenicí, roletou, mříží, </w:t>
      </w:r>
      <w:r w:rsidRPr="00400840">
        <w:rPr>
          <w:rFonts w:ascii="Calibri" w:hAnsi="Calibri"/>
          <w:sz w:val="22"/>
          <w:szCs w:val="22"/>
        </w:rPr>
        <w:t>bezpečnostním za</w:t>
      </w:r>
      <w:r w:rsidR="00661D3D" w:rsidRPr="00400840">
        <w:rPr>
          <w:rFonts w:ascii="Calibri" w:hAnsi="Calibri"/>
          <w:sz w:val="22"/>
          <w:szCs w:val="22"/>
        </w:rPr>
        <w:t>s</w:t>
      </w:r>
      <w:r w:rsidR="00F753CB" w:rsidRPr="00400840">
        <w:rPr>
          <w:rFonts w:ascii="Calibri" w:hAnsi="Calibri"/>
          <w:sz w:val="22"/>
          <w:szCs w:val="22"/>
        </w:rPr>
        <w:t>klením apod.</w:t>
      </w:r>
    </w:p>
    <w:p w14:paraId="0168739E" w14:textId="34A4189B" w:rsidR="00214048" w:rsidRPr="00400840" w:rsidRDefault="00214048" w:rsidP="005B3B50">
      <w:pPr>
        <w:pStyle w:val="Seznam"/>
        <w:ind w:left="720" w:firstLine="0"/>
        <w:jc w:val="both"/>
        <w:rPr>
          <w:rFonts w:ascii="Calibri" w:hAnsi="Calibri"/>
          <w:sz w:val="22"/>
          <w:szCs w:val="22"/>
        </w:rPr>
      </w:pPr>
      <w:r w:rsidRPr="00400840">
        <w:rPr>
          <w:rFonts w:ascii="Calibri" w:hAnsi="Calibri"/>
          <w:sz w:val="22"/>
          <w:szCs w:val="22"/>
        </w:rPr>
        <w:t xml:space="preserve">Pro limit pojistného plnění </w:t>
      </w:r>
      <w:r w:rsidRPr="00400840">
        <w:rPr>
          <w:rFonts w:ascii="Calibri" w:hAnsi="Calibri"/>
          <w:b/>
          <w:sz w:val="22"/>
          <w:szCs w:val="22"/>
        </w:rPr>
        <w:t>do</w:t>
      </w:r>
      <w:r w:rsidR="00607AEF">
        <w:rPr>
          <w:rFonts w:ascii="Calibri" w:hAnsi="Calibri"/>
          <w:b/>
          <w:sz w:val="22"/>
          <w:szCs w:val="22"/>
        </w:rPr>
        <w:t>1</w:t>
      </w:r>
      <w:r w:rsidR="0033734B">
        <w:rPr>
          <w:rFonts w:ascii="Calibri" w:hAnsi="Calibri"/>
          <w:b/>
          <w:sz w:val="22"/>
          <w:szCs w:val="22"/>
        </w:rPr>
        <w:t xml:space="preserve"> </w:t>
      </w:r>
      <w:r w:rsidR="00BB3C9B">
        <w:rPr>
          <w:rFonts w:ascii="Calibri" w:hAnsi="Calibri"/>
          <w:b/>
          <w:sz w:val="22"/>
          <w:szCs w:val="22"/>
        </w:rPr>
        <w:t>0</w:t>
      </w:r>
      <w:r w:rsidRPr="00400840">
        <w:rPr>
          <w:rFonts w:ascii="Calibri" w:hAnsi="Calibri"/>
          <w:b/>
          <w:sz w:val="22"/>
          <w:szCs w:val="22"/>
        </w:rPr>
        <w:t>00 000 Kč</w:t>
      </w:r>
      <w:r w:rsidRPr="00400840">
        <w:rPr>
          <w:rFonts w:ascii="Calibri" w:hAnsi="Calibri"/>
          <w:sz w:val="22"/>
          <w:szCs w:val="22"/>
        </w:rPr>
        <w:t xml:space="preserve"> je dostačující následující způsob zabezpečení: </w:t>
      </w:r>
    </w:p>
    <w:p w14:paraId="1F281F42" w14:textId="23727DAC" w:rsidR="00214048" w:rsidRDefault="00214048" w:rsidP="0077758E">
      <w:pPr>
        <w:pStyle w:val="Seznam"/>
        <w:ind w:left="720" w:firstLine="0"/>
        <w:jc w:val="both"/>
        <w:rPr>
          <w:rFonts w:ascii="Calibri" w:hAnsi="Calibri"/>
          <w:sz w:val="22"/>
          <w:szCs w:val="22"/>
        </w:rPr>
      </w:pPr>
      <w:r w:rsidRPr="00400840">
        <w:rPr>
          <w:rFonts w:ascii="Calibri" w:hAnsi="Calibri"/>
          <w:sz w:val="22"/>
          <w:szCs w:val="22"/>
        </w:rPr>
        <w:t>Pojištěné věci jsou v době pojistné události umístěné v</w:t>
      </w:r>
      <w:r w:rsidR="007F1284" w:rsidRPr="00400840">
        <w:rPr>
          <w:rFonts w:ascii="Calibri" w:hAnsi="Calibri"/>
          <w:sz w:val="22"/>
          <w:szCs w:val="22"/>
        </w:rPr>
        <w:t xml:space="preserve"> uzavřeném a </w:t>
      </w:r>
      <w:r w:rsidRPr="00400840">
        <w:rPr>
          <w:rFonts w:ascii="Calibri" w:hAnsi="Calibri"/>
          <w:sz w:val="22"/>
          <w:szCs w:val="22"/>
        </w:rPr>
        <w:t xml:space="preserve">uzamčeném prostoru, vstupní dveře plné jsou uzamčeny </w:t>
      </w:r>
      <w:r w:rsidR="00BC3B82">
        <w:rPr>
          <w:rFonts w:ascii="Calibri" w:hAnsi="Calibri"/>
          <w:sz w:val="22"/>
          <w:szCs w:val="22"/>
        </w:rPr>
        <w:t>bezpečnostním zámkem</w:t>
      </w:r>
      <w:r w:rsidR="00483134">
        <w:rPr>
          <w:rFonts w:ascii="Calibri" w:hAnsi="Calibri"/>
          <w:sz w:val="22"/>
          <w:szCs w:val="22"/>
        </w:rPr>
        <w:t xml:space="preserve"> s bezpečnostním kováním</w:t>
      </w:r>
      <w:r w:rsidR="00BC3B82">
        <w:rPr>
          <w:rFonts w:ascii="Calibri" w:hAnsi="Calibri"/>
          <w:sz w:val="22"/>
          <w:szCs w:val="22"/>
        </w:rPr>
        <w:t xml:space="preserve"> </w:t>
      </w:r>
      <w:r w:rsidRPr="00400840">
        <w:rPr>
          <w:rFonts w:ascii="Calibri" w:hAnsi="Calibri"/>
          <w:sz w:val="22"/>
          <w:szCs w:val="22"/>
        </w:rPr>
        <w:t xml:space="preserve">nebo </w:t>
      </w:r>
      <w:r w:rsidR="00C4331C">
        <w:rPr>
          <w:rFonts w:ascii="Calibri" w:hAnsi="Calibri"/>
          <w:sz w:val="22"/>
          <w:szCs w:val="22"/>
        </w:rPr>
        <w:t xml:space="preserve">dvěma </w:t>
      </w:r>
      <w:r w:rsidRPr="00400840">
        <w:rPr>
          <w:rFonts w:ascii="Calibri" w:hAnsi="Calibri"/>
          <w:sz w:val="22"/>
          <w:szCs w:val="22"/>
        </w:rPr>
        <w:t>bezpečnostním</w:t>
      </w:r>
      <w:r w:rsidR="00C4331C">
        <w:rPr>
          <w:rFonts w:ascii="Calibri" w:hAnsi="Calibri"/>
          <w:sz w:val="22"/>
          <w:szCs w:val="22"/>
        </w:rPr>
        <w:t>i</w:t>
      </w:r>
      <w:r w:rsidRPr="00400840">
        <w:rPr>
          <w:rFonts w:ascii="Calibri" w:hAnsi="Calibri"/>
          <w:sz w:val="22"/>
          <w:szCs w:val="22"/>
        </w:rPr>
        <w:t xml:space="preserve"> visacím zámk</w:t>
      </w:r>
      <w:r w:rsidR="00C4331C">
        <w:rPr>
          <w:rFonts w:ascii="Calibri" w:hAnsi="Calibri"/>
          <w:sz w:val="22"/>
          <w:szCs w:val="22"/>
        </w:rPr>
        <w:t>y</w:t>
      </w:r>
      <w:r w:rsidR="00BC3B82">
        <w:rPr>
          <w:rFonts w:ascii="Calibri" w:hAnsi="Calibri"/>
          <w:sz w:val="22"/>
          <w:szCs w:val="22"/>
        </w:rPr>
        <w:t xml:space="preserve"> s tvrzenými oky</w:t>
      </w:r>
      <w:r w:rsidRPr="00400840">
        <w:rPr>
          <w:rFonts w:ascii="Calibri" w:hAnsi="Calibri"/>
          <w:sz w:val="22"/>
          <w:szCs w:val="22"/>
        </w:rPr>
        <w:t>. Okno či jiná prosklená část není opatře</w:t>
      </w:r>
      <w:r w:rsidR="00E60AF4" w:rsidRPr="00400840">
        <w:rPr>
          <w:rFonts w:ascii="Calibri" w:hAnsi="Calibri"/>
          <w:sz w:val="22"/>
          <w:szCs w:val="22"/>
        </w:rPr>
        <w:t>na okenicí, roletou, mříží, bezpečnostním zasklením apod.</w:t>
      </w:r>
    </w:p>
    <w:p w14:paraId="18B59148" w14:textId="77777777" w:rsidR="009941AE" w:rsidRPr="00400840" w:rsidRDefault="009941AE" w:rsidP="0077758E">
      <w:pPr>
        <w:pStyle w:val="Seznam"/>
        <w:ind w:left="720" w:firstLine="0"/>
        <w:jc w:val="both"/>
        <w:rPr>
          <w:rFonts w:ascii="Calibri" w:hAnsi="Calibri"/>
          <w:sz w:val="22"/>
          <w:szCs w:val="22"/>
        </w:rPr>
      </w:pPr>
    </w:p>
    <w:p w14:paraId="352E37C5" w14:textId="77777777" w:rsidR="00214048" w:rsidRDefault="00495486" w:rsidP="0077758E">
      <w:pPr>
        <w:pStyle w:val="Seznam"/>
        <w:numPr>
          <w:ilvl w:val="0"/>
          <w:numId w:val="25"/>
        </w:numPr>
        <w:jc w:val="both"/>
        <w:rPr>
          <w:rFonts w:ascii="Calibri" w:hAnsi="Calibri"/>
          <w:b/>
          <w:sz w:val="22"/>
          <w:szCs w:val="22"/>
        </w:rPr>
      </w:pPr>
      <w:r w:rsidRPr="00400840">
        <w:rPr>
          <w:rFonts w:ascii="Calibri" w:hAnsi="Calibri"/>
          <w:b/>
          <w:sz w:val="22"/>
          <w:szCs w:val="22"/>
          <w:u w:val="single"/>
        </w:rPr>
        <w:t xml:space="preserve">Pro peníze a cennosti </w:t>
      </w:r>
      <w:r w:rsidRPr="00400840">
        <w:rPr>
          <w:rFonts w:ascii="Calibri" w:hAnsi="Calibri"/>
          <w:b/>
          <w:sz w:val="22"/>
          <w:szCs w:val="22"/>
        </w:rPr>
        <w:t xml:space="preserve">se sjednávají následující </w:t>
      </w:r>
      <w:r w:rsidR="001B0B5C" w:rsidRPr="00400840">
        <w:rPr>
          <w:rFonts w:ascii="Calibri" w:hAnsi="Calibri"/>
          <w:b/>
          <w:sz w:val="22"/>
          <w:szCs w:val="22"/>
        </w:rPr>
        <w:t>limity plnění a stupně zabezpečení v případě krádeže vloupáním:</w:t>
      </w:r>
    </w:p>
    <w:p w14:paraId="587C4B5C" w14:textId="70D4C79E" w:rsidR="00CE5248" w:rsidRPr="00CE5248" w:rsidRDefault="00CE5248" w:rsidP="00CE5248">
      <w:pPr>
        <w:pStyle w:val="Seznam"/>
        <w:ind w:left="720" w:firstLine="0"/>
        <w:jc w:val="both"/>
        <w:rPr>
          <w:rFonts w:ascii="Calibri" w:hAnsi="Calibri"/>
          <w:sz w:val="22"/>
          <w:szCs w:val="22"/>
        </w:rPr>
      </w:pPr>
      <w:r>
        <w:rPr>
          <w:rFonts w:ascii="Calibri" w:hAnsi="Calibri"/>
          <w:bCs/>
          <w:sz w:val="22"/>
          <w:szCs w:val="22"/>
        </w:rPr>
        <w:t>P</w:t>
      </w:r>
      <w:r w:rsidR="001F466C" w:rsidRPr="00CE5248">
        <w:rPr>
          <w:rFonts w:ascii="Calibri" w:hAnsi="Calibri"/>
          <w:bCs/>
          <w:sz w:val="22"/>
          <w:szCs w:val="22"/>
        </w:rPr>
        <w:t xml:space="preserve">ro limit plnění </w:t>
      </w:r>
      <w:r w:rsidR="001F466C" w:rsidRPr="00CE5248">
        <w:rPr>
          <w:rFonts w:ascii="Calibri" w:hAnsi="Calibri"/>
          <w:b/>
          <w:sz w:val="22"/>
          <w:szCs w:val="22"/>
        </w:rPr>
        <w:t>do 20 000 Kč</w:t>
      </w:r>
      <w:r w:rsidR="001F466C" w:rsidRPr="00CE5248">
        <w:rPr>
          <w:rFonts w:ascii="Calibri" w:hAnsi="Calibri"/>
          <w:bCs/>
          <w:sz w:val="22"/>
          <w:szCs w:val="22"/>
        </w:rPr>
        <w:t xml:space="preserve"> je dostačující následující způsob zabezpečení: Peníze a cennosti jsou uloženy v</w:t>
      </w:r>
      <w:r w:rsidR="00B63016" w:rsidRPr="00CE5248">
        <w:rPr>
          <w:rFonts w:ascii="Calibri" w:hAnsi="Calibri"/>
          <w:bCs/>
          <w:sz w:val="22"/>
          <w:szCs w:val="22"/>
        </w:rPr>
        <w:t> </w:t>
      </w:r>
      <w:r w:rsidR="004F0316" w:rsidRPr="00CE5248">
        <w:rPr>
          <w:rFonts w:ascii="Calibri" w:hAnsi="Calibri"/>
          <w:bCs/>
          <w:sz w:val="22"/>
          <w:szCs w:val="22"/>
        </w:rPr>
        <w:t>automatech</w:t>
      </w:r>
      <w:r w:rsidR="00B63016" w:rsidRPr="00CE5248">
        <w:rPr>
          <w:rFonts w:ascii="Calibri" w:hAnsi="Calibri"/>
          <w:bCs/>
          <w:sz w:val="22"/>
          <w:szCs w:val="22"/>
        </w:rPr>
        <w:t xml:space="preserve"> (parkovací, platební a jin</w:t>
      </w:r>
      <w:r w:rsidR="00347013" w:rsidRPr="00CE5248">
        <w:rPr>
          <w:rFonts w:ascii="Calibri" w:hAnsi="Calibri"/>
          <w:bCs/>
          <w:sz w:val="22"/>
          <w:szCs w:val="22"/>
        </w:rPr>
        <w:t>ých</w:t>
      </w:r>
      <w:r w:rsidR="00B63016" w:rsidRPr="00CE5248">
        <w:rPr>
          <w:rFonts w:ascii="Calibri" w:hAnsi="Calibri"/>
          <w:bCs/>
          <w:sz w:val="22"/>
          <w:szCs w:val="22"/>
        </w:rPr>
        <w:t>)</w:t>
      </w:r>
      <w:r w:rsidR="004F0316" w:rsidRPr="00CE5248">
        <w:rPr>
          <w:rFonts w:ascii="Calibri" w:hAnsi="Calibri"/>
          <w:bCs/>
          <w:sz w:val="22"/>
          <w:szCs w:val="22"/>
        </w:rPr>
        <w:t xml:space="preserve"> umístěných </w:t>
      </w:r>
      <w:r w:rsidR="00805541" w:rsidRPr="00CE5248">
        <w:rPr>
          <w:rFonts w:ascii="Calibri" w:hAnsi="Calibri"/>
          <w:bCs/>
          <w:sz w:val="22"/>
          <w:szCs w:val="22"/>
        </w:rPr>
        <w:t>v areálu pojištěného</w:t>
      </w:r>
      <w:r w:rsidR="00347013" w:rsidRPr="00CE5248">
        <w:rPr>
          <w:rFonts w:ascii="Calibri" w:hAnsi="Calibri"/>
          <w:bCs/>
          <w:sz w:val="22"/>
          <w:szCs w:val="22"/>
        </w:rPr>
        <w:t xml:space="preserve"> uvnitř i venku</w:t>
      </w:r>
      <w:r w:rsidR="00805541" w:rsidRPr="00CE5248">
        <w:rPr>
          <w:rFonts w:ascii="Calibri" w:hAnsi="Calibri"/>
          <w:bCs/>
          <w:sz w:val="22"/>
          <w:szCs w:val="22"/>
        </w:rPr>
        <w:t xml:space="preserve">. </w:t>
      </w:r>
    </w:p>
    <w:p w14:paraId="491E4B6B" w14:textId="41CA61C3" w:rsidR="00EA4AFE" w:rsidRPr="00CE5248" w:rsidRDefault="00214048" w:rsidP="00CE5248">
      <w:pPr>
        <w:pStyle w:val="Seznam"/>
        <w:ind w:left="720" w:firstLine="0"/>
        <w:jc w:val="both"/>
        <w:rPr>
          <w:rFonts w:ascii="Calibri" w:hAnsi="Calibri"/>
          <w:sz w:val="22"/>
          <w:szCs w:val="22"/>
        </w:rPr>
      </w:pPr>
      <w:r w:rsidRPr="00CE5248">
        <w:rPr>
          <w:rFonts w:ascii="Calibri" w:hAnsi="Calibri"/>
          <w:bCs/>
          <w:sz w:val="22"/>
          <w:szCs w:val="22"/>
        </w:rPr>
        <w:t xml:space="preserve">Pro limit plnění </w:t>
      </w:r>
      <w:r w:rsidR="006C2103" w:rsidRPr="00CE5248">
        <w:rPr>
          <w:rFonts w:ascii="Calibri" w:hAnsi="Calibri"/>
          <w:b/>
          <w:sz w:val="22"/>
          <w:szCs w:val="22"/>
        </w:rPr>
        <w:t xml:space="preserve">do </w:t>
      </w:r>
      <w:r w:rsidR="005F283B">
        <w:rPr>
          <w:rFonts w:ascii="Calibri" w:hAnsi="Calibri"/>
          <w:b/>
          <w:sz w:val="22"/>
          <w:szCs w:val="22"/>
        </w:rPr>
        <w:t>10</w:t>
      </w:r>
      <w:r w:rsidRPr="00CE5248">
        <w:rPr>
          <w:rFonts w:ascii="Calibri" w:hAnsi="Calibri"/>
          <w:b/>
          <w:sz w:val="22"/>
          <w:szCs w:val="22"/>
        </w:rPr>
        <w:t>0 000 Kč</w:t>
      </w:r>
      <w:r w:rsidRPr="00CE5248">
        <w:rPr>
          <w:rFonts w:ascii="Calibri" w:hAnsi="Calibri"/>
          <w:bCs/>
          <w:sz w:val="22"/>
          <w:szCs w:val="22"/>
        </w:rPr>
        <w:t xml:space="preserve"> je dostačující následující způsob zabezpečení: </w:t>
      </w:r>
      <w:r w:rsidR="00455100" w:rsidRPr="00CE5248">
        <w:rPr>
          <w:rFonts w:ascii="Calibri" w:hAnsi="Calibri"/>
          <w:bCs/>
          <w:sz w:val="22"/>
          <w:szCs w:val="22"/>
        </w:rPr>
        <w:t>Peníze a c</w:t>
      </w:r>
      <w:r w:rsidRPr="00CE5248">
        <w:rPr>
          <w:rFonts w:ascii="Calibri" w:hAnsi="Calibri"/>
          <w:bCs/>
          <w:sz w:val="22"/>
          <w:szCs w:val="22"/>
        </w:rPr>
        <w:t>ennosti</w:t>
      </w:r>
      <w:r w:rsidR="0055413A" w:rsidRPr="00CE5248">
        <w:rPr>
          <w:rFonts w:ascii="Calibri" w:hAnsi="Calibri"/>
          <w:sz w:val="22"/>
          <w:szCs w:val="22"/>
        </w:rPr>
        <w:t xml:space="preserve"> jsou uloženy v pokladnách,</w:t>
      </w:r>
      <w:r w:rsidR="00B36846" w:rsidRPr="00CE5248">
        <w:rPr>
          <w:rFonts w:ascii="Calibri" w:hAnsi="Calibri"/>
          <w:sz w:val="22"/>
          <w:szCs w:val="22"/>
        </w:rPr>
        <w:t> plechových skříňkách</w:t>
      </w:r>
      <w:r w:rsidR="0055413A" w:rsidRPr="00CE5248">
        <w:rPr>
          <w:rFonts w:ascii="Calibri" w:hAnsi="Calibri"/>
          <w:sz w:val="22"/>
          <w:szCs w:val="22"/>
        </w:rPr>
        <w:t xml:space="preserve"> apod.</w:t>
      </w:r>
      <w:r w:rsidR="00B36846" w:rsidRPr="00CE5248">
        <w:rPr>
          <w:rFonts w:ascii="Calibri" w:hAnsi="Calibri"/>
          <w:sz w:val="22"/>
          <w:szCs w:val="22"/>
        </w:rPr>
        <w:t xml:space="preserve">, které </w:t>
      </w:r>
      <w:r w:rsidRPr="00CE5248">
        <w:rPr>
          <w:rFonts w:ascii="Calibri" w:hAnsi="Calibri"/>
          <w:sz w:val="22"/>
          <w:szCs w:val="22"/>
        </w:rPr>
        <w:t>jsou umístěny v</w:t>
      </w:r>
      <w:r w:rsidR="00CB33E1" w:rsidRPr="00CE5248">
        <w:rPr>
          <w:rFonts w:ascii="Calibri" w:hAnsi="Calibri"/>
          <w:sz w:val="22"/>
          <w:szCs w:val="22"/>
        </w:rPr>
        <w:t> uzavřené a</w:t>
      </w:r>
      <w:r w:rsidRPr="00CE5248">
        <w:rPr>
          <w:rFonts w:ascii="Calibri" w:hAnsi="Calibri"/>
          <w:sz w:val="22"/>
          <w:szCs w:val="22"/>
        </w:rPr>
        <w:t> uzamčené místnosti.</w:t>
      </w:r>
    </w:p>
    <w:p w14:paraId="1C9E2B46" w14:textId="2BCE0293" w:rsidR="00BC3B82" w:rsidRDefault="00EA4AFE" w:rsidP="00BC3B82">
      <w:pPr>
        <w:pStyle w:val="Seznam"/>
        <w:ind w:left="720" w:firstLine="0"/>
        <w:jc w:val="both"/>
        <w:rPr>
          <w:rFonts w:ascii="Calibri" w:hAnsi="Calibri"/>
          <w:sz w:val="22"/>
          <w:szCs w:val="22"/>
        </w:rPr>
      </w:pPr>
      <w:r w:rsidRPr="00F53CDC">
        <w:rPr>
          <w:rFonts w:ascii="Calibri" w:hAnsi="Calibri"/>
          <w:sz w:val="22"/>
          <w:szCs w:val="22"/>
        </w:rPr>
        <w:lastRenderedPageBreak/>
        <w:t xml:space="preserve">Pro limit plnění </w:t>
      </w:r>
      <w:r w:rsidR="00F53CDC" w:rsidRPr="00F53CDC">
        <w:rPr>
          <w:rFonts w:ascii="Calibri" w:hAnsi="Calibri"/>
          <w:b/>
          <w:sz w:val="22"/>
          <w:szCs w:val="22"/>
        </w:rPr>
        <w:t xml:space="preserve">do </w:t>
      </w:r>
      <w:r w:rsidR="009B1C5E">
        <w:rPr>
          <w:rFonts w:ascii="Calibri" w:hAnsi="Calibri"/>
          <w:b/>
          <w:sz w:val="22"/>
          <w:szCs w:val="22"/>
        </w:rPr>
        <w:t>2</w:t>
      </w:r>
      <w:r w:rsidR="00F53CDC" w:rsidRPr="00F53CDC">
        <w:rPr>
          <w:rFonts w:ascii="Calibri" w:hAnsi="Calibri"/>
          <w:b/>
          <w:sz w:val="22"/>
          <w:szCs w:val="22"/>
        </w:rPr>
        <w:t xml:space="preserve">00 </w:t>
      </w:r>
      <w:r w:rsidRPr="00F53CDC">
        <w:rPr>
          <w:rFonts w:ascii="Calibri" w:hAnsi="Calibri"/>
          <w:b/>
          <w:sz w:val="22"/>
          <w:szCs w:val="22"/>
        </w:rPr>
        <w:t>000,- Kč</w:t>
      </w:r>
      <w:r w:rsidRPr="00F53CDC">
        <w:rPr>
          <w:rFonts w:ascii="Calibri" w:hAnsi="Calibri"/>
          <w:sz w:val="22"/>
          <w:szCs w:val="22"/>
        </w:rPr>
        <w:t xml:space="preserve"> je dostačující následující způsob zabezpečení: Peníze a cennosti jsou uloženy v </w:t>
      </w:r>
      <w:r w:rsidR="00BC3B82">
        <w:rPr>
          <w:rFonts w:ascii="Calibri" w:hAnsi="Calibri"/>
          <w:sz w:val="22"/>
          <w:szCs w:val="22"/>
        </w:rPr>
        <w:t>trezoru</w:t>
      </w:r>
      <w:r w:rsidRPr="00F53CDC">
        <w:rPr>
          <w:rFonts w:ascii="Calibri" w:hAnsi="Calibri"/>
          <w:sz w:val="22"/>
          <w:szCs w:val="22"/>
        </w:rPr>
        <w:t>, kter</w:t>
      </w:r>
      <w:r w:rsidR="00BC3B82">
        <w:rPr>
          <w:rFonts w:ascii="Calibri" w:hAnsi="Calibri"/>
          <w:sz w:val="22"/>
          <w:szCs w:val="22"/>
        </w:rPr>
        <w:t>ý je umístěn</w:t>
      </w:r>
      <w:r w:rsidRPr="00F53CDC">
        <w:rPr>
          <w:rFonts w:ascii="Calibri" w:hAnsi="Calibri"/>
          <w:sz w:val="22"/>
          <w:szCs w:val="22"/>
        </w:rPr>
        <w:t xml:space="preserve"> v uzavřené a uzamčené místnosti, vstupní dveře plné jsou uzamčeny zámkem s cylindrickou vložkou</w:t>
      </w:r>
      <w:r w:rsidR="00BC3B82">
        <w:rPr>
          <w:rFonts w:ascii="Calibri" w:hAnsi="Calibri"/>
          <w:sz w:val="22"/>
          <w:szCs w:val="22"/>
        </w:rPr>
        <w:t>.</w:t>
      </w:r>
    </w:p>
    <w:p w14:paraId="23A5C200" w14:textId="02EEC23C" w:rsidR="00214048" w:rsidRPr="00400840" w:rsidRDefault="00AA7EEC" w:rsidP="00BC3B82">
      <w:pPr>
        <w:pStyle w:val="Seznam"/>
        <w:ind w:left="720" w:firstLine="0"/>
        <w:jc w:val="both"/>
        <w:rPr>
          <w:rFonts w:ascii="Calibri" w:hAnsi="Calibri"/>
          <w:sz w:val="22"/>
          <w:szCs w:val="22"/>
        </w:rPr>
      </w:pPr>
      <w:r w:rsidRPr="00400840">
        <w:rPr>
          <w:rFonts w:ascii="Calibri" w:hAnsi="Calibri"/>
          <w:b/>
          <w:sz w:val="22"/>
          <w:szCs w:val="22"/>
        </w:rPr>
        <w:t>Odchylný způsob</w:t>
      </w:r>
      <w:r w:rsidR="00214048" w:rsidRPr="00400840">
        <w:rPr>
          <w:rFonts w:ascii="Calibri" w:hAnsi="Calibri"/>
          <w:b/>
          <w:sz w:val="22"/>
          <w:szCs w:val="22"/>
        </w:rPr>
        <w:t xml:space="preserve"> zabezpečení </w:t>
      </w:r>
      <w:r w:rsidR="00214048" w:rsidRPr="00400840">
        <w:rPr>
          <w:rFonts w:ascii="Calibri" w:hAnsi="Calibri"/>
          <w:b/>
          <w:sz w:val="22"/>
          <w:szCs w:val="22"/>
          <w:u w:val="single"/>
        </w:rPr>
        <w:t xml:space="preserve">pro přepravu </w:t>
      </w:r>
      <w:r w:rsidR="00EE3CEC" w:rsidRPr="00400840">
        <w:rPr>
          <w:rFonts w:ascii="Calibri" w:hAnsi="Calibri"/>
          <w:b/>
          <w:sz w:val="22"/>
          <w:szCs w:val="22"/>
          <w:u w:val="single"/>
        </w:rPr>
        <w:t xml:space="preserve">peněz a </w:t>
      </w:r>
      <w:r w:rsidR="00214048" w:rsidRPr="00400840">
        <w:rPr>
          <w:rFonts w:ascii="Calibri" w:hAnsi="Calibri"/>
          <w:b/>
          <w:sz w:val="22"/>
          <w:szCs w:val="22"/>
          <w:u w:val="single"/>
        </w:rPr>
        <w:t>cenností:</w:t>
      </w:r>
    </w:p>
    <w:p w14:paraId="29103D83" w14:textId="77777777" w:rsidR="00EE3CEC" w:rsidRPr="00400840" w:rsidRDefault="000D6D84" w:rsidP="005B3B50">
      <w:pPr>
        <w:pStyle w:val="Seznam"/>
        <w:ind w:left="720" w:firstLine="0"/>
        <w:jc w:val="both"/>
        <w:rPr>
          <w:rFonts w:ascii="Calibri" w:hAnsi="Calibri"/>
          <w:sz w:val="22"/>
          <w:szCs w:val="22"/>
        </w:rPr>
      </w:pPr>
      <w:r w:rsidRPr="00400840">
        <w:rPr>
          <w:rFonts w:ascii="Calibri" w:hAnsi="Calibri"/>
          <w:sz w:val="22"/>
          <w:szCs w:val="22"/>
        </w:rPr>
        <w:t xml:space="preserve">Pojištění se vztahuje na případy odcizení nebo ztráty peněz a cenností, kdy byl posel následkem dopravní nebo jiné nehody zbaven možnosti svěřené peníze a cennosti opatrovat. </w:t>
      </w:r>
    </w:p>
    <w:p w14:paraId="6F149750" w14:textId="77777777" w:rsidR="000D6D84" w:rsidRPr="00400840" w:rsidRDefault="000D6D84" w:rsidP="005B3B50">
      <w:pPr>
        <w:pStyle w:val="Seznam"/>
        <w:ind w:left="720" w:firstLine="0"/>
        <w:jc w:val="both"/>
        <w:rPr>
          <w:rFonts w:ascii="Calibri" w:hAnsi="Calibri"/>
          <w:sz w:val="22"/>
          <w:szCs w:val="22"/>
        </w:rPr>
      </w:pPr>
      <w:r w:rsidRPr="00400840">
        <w:rPr>
          <w:rFonts w:ascii="Calibri" w:hAnsi="Calibri"/>
          <w:sz w:val="22"/>
          <w:szCs w:val="22"/>
        </w:rPr>
        <w:t xml:space="preserve">Pojištění se vztahuje i na případy, kdy pachatel bezprostředně před nebo po přepravě zásilky peněz a cenností použije proti pojištěnému, jeho pracovníkovi nebo jiné osobě pověřené pojištěným násilí nebo hrozbu bezprostředního násilí.  </w:t>
      </w:r>
    </w:p>
    <w:p w14:paraId="03FDD845" w14:textId="77777777" w:rsidR="00214048" w:rsidRPr="00400840" w:rsidRDefault="00214048" w:rsidP="005B3B50">
      <w:pPr>
        <w:pStyle w:val="Seznam"/>
        <w:ind w:left="720" w:firstLine="0"/>
        <w:jc w:val="both"/>
        <w:rPr>
          <w:rFonts w:ascii="Calibri" w:hAnsi="Calibri"/>
          <w:sz w:val="22"/>
          <w:szCs w:val="22"/>
        </w:rPr>
      </w:pPr>
      <w:r w:rsidRPr="00400840">
        <w:rPr>
          <w:rFonts w:ascii="Calibri" w:hAnsi="Calibri"/>
          <w:sz w:val="22"/>
          <w:szCs w:val="22"/>
        </w:rPr>
        <w:t xml:space="preserve">Pro limit plnění </w:t>
      </w:r>
      <w:r w:rsidR="000A1514" w:rsidRPr="00400840">
        <w:rPr>
          <w:rFonts w:ascii="Calibri" w:hAnsi="Calibri"/>
          <w:b/>
          <w:sz w:val="22"/>
          <w:szCs w:val="22"/>
        </w:rPr>
        <w:t>do 2</w:t>
      </w:r>
      <w:r w:rsidRPr="00400840">
        <w:rPr>
          <w:rFonts w:ascii="Calibri" w:hAnsi="Calibri"/>
          <w:b/>
          <w:sz w:val="22"/>
          <w:szCs w:val="22"/>
        </w:rPr>
        <w:t>00 000 Kč</w:t>
      </w:r>
      <w:r w:rsidRPr="00400840">
        <w:rPr>
          <w:rFonts w:ascii="Calibri" w:hAnsi="Calibri"/>
          <w:sz w:val="22"/>
          <w:szCs w:val="22"/>
        </w:rPr>
        <w:t xml:space="preserve"> je dostačující následující způsob zabezpečení:</w:t>
      </w:r>
    </w:p>
    <w:p w14:paraId="3C5E7A73" w14:textId="08932431" w:rsidR="00214048" w:rsidRDefault="005B1A16" w:rsidP="0077758E">
      <w:pPr>
        <w:pStyle w:val="Seznam"/>
        <w:ind w:left="720" w:firstLine="0"/>
        <w:jc w:val="both"/>
        <w:rPr>
          <w:rFonts w:ascii="Calibri" w:hAnsi="Calibri"/>
          <w:sz w:val="22"/>
          <w:szCs w:val="22"/>
        </w:rPr>
      </w:pPr>
      <w:r w:rsidRPr="00400840">
        <w:rPr>
          <w:rFonts w:ascii="Calibri" w:hAnsi="Calibri"/>
          <w:sz w:val="22"/>
          <w:szCs w:val="22"/>
        </w:rPr>
        <w:t>Peníze a c</w:t>
      </w:r>
      <w:r w:rsidR="00214048" w:rsidRPr="00400840">
        <w:rPr>
          <w:rFonts w:ascii="Calibri" w:hAnsi="Calibri"/>
          <w:sz w:val="22"/>
          <w:szCs w:val="22"/>
        </w:rPr>
        <w:t>ennosti jsou přep</w:t>
      </w:r>
      <w:r w:rsidR="00846918" w:rsidRPr="00400840">
        <w:rPr>
          <w:rFonts w:ascii="Calibri" w:hAnsi="Calibri"/>
          <w:sz w:val="22"/>
          <w:szCs w:val="22"/>
        </w:rPr>
        <w:t>ravovány alespoň jednou osobou,</w:t>
      </w:r>
      <w:r w:rsidR="00C84B25" w:rsidRPr="00400840">
        <w:rPr>
          <w:rFonts w:ascii="Calibri" w:hAnsi="Calibri"/>
          <w:sz w:val="22"/>
          <w:szCs w:val="22"/>
        </w:rPr>
        <w:t xml:space="preserve"> přepravované peníze a cennosti jsou uloženy v</w:t>
      </w:r>
      <w:r w:rsidR="00882B6D" w:rsidRPr="00400840">
        <w:rPr>
          <w:rFonts w:ascii="Calibri" w:hAnsi="Calibri"/>
          <w:sz w:val="22"/>
          <w:szCs w:val="22"/>
        </w:rPr>
        <w:t xml:space="preserve"> pevné, </w:t>
      </w:r>
      <w:r w:rsidR="00C84B25" w:rsidRPr="00400840">
        <w:rPr>
          <w:rFonts w:ascii="Calibri" w:hAnsi="Calibri"/>
          <w:sz w:val="22"/>
          <w:szCs w:val="22"/>
        </w:rPr>
        <w:t xml:space="preserve">řádně uzavřené </w:t>
      </w:r>
      <w:r w:rsidR="00214048" w:rsidRPr="00400840">
        <w:rPr>
          <w:rFonts w:ascii="Calibri" w:hAnsi="Calibri"/>
          <w:sz w:val="22"/>
          <w:szCs w:val="22"/>
        </w:rPr>
        <w:t>kabele</w:t>
      </w:r>
      <w:r w:rsidR="00C84B25" w:rsidRPr="00400840">
        <w:rPr>
          <w:rFonts w:ascii="Calibri" w:hAnsi="Calibri"/>
          <w:sz w:val="22"/>
          <w:szCs w:val="22"/>
        </w:rPr>
        <w:t>, batohu, kufříku apod.</w:t>
      </w:r>
      <w:r w:rsidR="00780C86" w:rsidRPr="00400840">
        <w:rPr>
          <w:rFonts w:ascii="Calibri" w:hAnsi="Calibri"/>
          <w:sz w:val="22"/>
          <w:szCs w:val="22"/>
        </w:rPr>
        <w:t xml:space="preserve"> nebo je má osoba pro</w:t>
      </w:r>
      <w:r w:rsidR="001A25C2" w:rsidRPr="00400840">
        <w:rPr>
          <w:rFonts w:ascii="Calibri" w:hAnsi="Calibri"/>
          <w:sz w:val="22"/>
          <w:szCs w:val="22"/>
        </w:rPr>
        <w:t>vádějící přepravu u sebe (peněžence, ledvince apod.)</w:t>
      </w:r>
      <w:r w:rsidR="00663197" w:rsidRPr="00400840">
        <w:rPr>
          <w:rFonts w:ascii="Calibri" w:hAnsi="Calibri"/>
          <w:sz w:val="22"/>
          <w:szCs w:val="22"/>
        </w:rPr>
        <w:t xml:space="preserve"> </w:t>
      </w:r>
    </w:p>
    <w:p w14:paraId="0FE025A6" w14:textId="77777777" w:rsidR="009941AE" w:rsidRPr="00400840" w:rsidRDefault="009941AE" w:rsidP="0077758E">
      <w:pPr>
        <w:pStyle w:val="Seznam"/>
        <w:ind w:left="720" w:firstLine="0"/>
        <w:jc w:val="both"/>
        <w:rPr>
          <w:rFonts w:ascii="Calibri" w:hAnsi="Calibri"/>
          <w:sz w:val="22"/>
          <w:szCs w:val="22"/>
        </w:rPr>
      </w:pPr>
    </w:p>
    <w:p w14:paraId="55DCD41D" w14:textId="77777777" w:rsidR="00C15DF5" w:rsidRPr="00400840" w:rsidRDefault="00C15DF5" w:rsidP="00E566DF">
      <w:pPr>
        <w:pStyle w:val="Seznam"/>
        <w:numPr>
          <w:ilvl w:val="0"/>
          <w:numId w:val="25"/>
        </w:numPr>
        <w:jc w:val="both"/>
        <w:rPr>
          <w:rFonts w:ascii="Calibri" w:hAnsi="Calibri"/>
          <w:sz w:val="22"/>
          <w:szCs w:val="22"/>
        </w:rPr>
      </w:pPr>
      <w:r w:rsidRPr="00400840">
        <w:rPr>
          <w:rFonts w:ascii="Calibri" w:hAnsi="Calibri"/>
          <w:b/>
          <w:sz w:val="22"/>
          <w:szCs w:val="22"/>
        </w:rPr>
        <w:t xml:space="preserve">Pro </w:t>
      </w:r>
      <w:r w:rsidR="000365D3" w:rsidRPr="00400840">
        <w:rPr>
          <w:rFonts w:ascii="Calibri" w:hAnsi="Calibri"/>
          <w:b/>
          <w:sz w:val="22"/>
          <w:szCs w:val="22"/>
        </w:rPr>
        <w:t>veškerý movitý majetek včetně zásob umístěných</w:t>
      </w:r>
      <w:r w:rsidRPr="00400840">
        <w:rPr>
          <w:rFonts w:ascii="Calibri" w:hAnsi="Calibri"/>
          <w:b/>
          <w:sz w:val="22"/>
          <w:szCs w:val="22"/>
        </w:rPr>
        <w:t xml:space="preserve"> </w:t>
      </w:r>
      <w:r w:rsidRPr="00400840">
        <w:rPr>
          <w:rFonts w:ascii="Calibri" w:hAnsi="Calibri"/>
          <w:b/>
          <w:sz w:val="22"/>
          <w:szCs w:val="22"/>
          <w:u w:val="single"/>
        </w:rPr>
        <w:t xml:space="preserve">na </w:t>
      </w:r>
      <w:r w:rsidR="000365D3" w:rsidRPr="00400840">
        <w:rPr>
          <w:rFonts w:ascii="Calibri" w:hAnsi="Calibri"/>
          <w:b/>
          <w:sz w:val="22"/>
          <w:szCs w:val="22"/>
          <w:u w:val="single"/>
        </w:rPr>
        <w:t>volném (venkovním prostranství)</w:t>
      </w:r>
      <w:r w:rsidRPr="00400840">
        <w:rPr>
          <w:rFonts w:ascii="Calibri" w:hAnsi="Calibri"/>
          <w:sz w:val="22"/>
          <w:szCs w:val="22"/>
        </w:rPr>
        <w:t xml:space="preserve"> se </w:t>
      </w:r>
      <w:r w:rsidR="00F10476" w:rsidRPr="00400840">
        <w:rPr>
          <w:rFonts w:ascii="Calibri" w:hAnsi="Calibri"/>
          <w:sz w:val="22"/>
          <w:szCs w:val="22"/>
        </w:rPr>
        <w:t xml:space="preserve">za minimální způsob zabezpečení pro případ krádeže vloupáním </w:t>
      </w:r>
      <w:r w:rsidRPr="00400840">
        <w:rPr>
          <w:rFonts w:ascii="Calibri" w:hAnsi="Calibri"/>
          <w:sz w:val="22"/>
          <w:szCs w:val="22"/>
        </w:rPr>
        <w:t>sjednávají následující lim</w:t>
      </w:r>
      <w:r w:rsidR="00F10476" w:rsidRPr="00400840">
        <w:rPr>
          <w:rFonts w:ascii="Calibri" w:hAnsi="Calibri"/>
          <w:sz w:val="22"/>
          <w:szCs w:val="22"/>
        </w:rPr>
        <w:t>ity plnění a stupně zabezpečení:</w:t>
      </w:r>
    </w:p>
    <w:p w14:paraId="13C233AE" w14:textId="77777777" w:rsidR="00D80766" w:rsidRPr="00400840" w:rsidRDefault="00D80766" w:rsidP="00D80766">
      <w:pPr>
        <w:pStyle w:val="Seznam"/>
        <w:ind w:left="720" w:firstLine="0"/>
        <w:jc w:val="both"/>
        <w:rPr>
          <w:rFonts w:ascii="Calibri" w:hAnsi="Calibri"/>
          <w:sz w:val="22"/>
          <w:szCs w:val="22"/>
        </w:rPr>
      </w:pPr>
      <w:r w:rsidRPr="00400840">
        <w:rPr>
          <w:rFonts w:ascii="Calibri" w:hAnsi="Calibri"/>
          <w:sz w:val="22"/>
          <w:szCs w:val="22"/>
        </w:rPr>
        <w:t xml:space="preserve">Pro limit plnění </w:t>
      </w:r>
      <w:r w:rsidRPr="00400840">
        <w:rPr>
          <w:rFonts w:ascii="Calibri" w:hAnsi="Calibri"/>
          <w:b/>
          <w:sz w:val="22"/>
          <w:szCs w:val="22"/>
        </w:rPr>
        <w:t xml:space="preserve">do </w:t>
      </w:r>
      <w:r w:rsidR="00A1320C" w:rsidRPr="00400840">
        <w:rPr>
          <w:rFonts w:ascii="Calibri" w:hAnsi="Calibri"/>
          <w:b/>
          <w:sz w:val="22"/>
          <w:szCs w:val="22"/>
        </w:rPr>
        <w:t>2</w:t>
      </w:r>
      <w:r w:rsidRPr="00400840">
        <w:rPr>
          <w:rFonts w:ascii="Calibri" w:hAnsi="Calibri"/>
          <w:b/>
          <w:sz w:val="22"/>
          <w:szCs w:val="22"/>
        </w:rPr>
        <w:t>00 000 Kč</w:t>
      </w:r>
      <w:r w:rsidRPr="00400840">
        <w:rPr>
          <w:rFonts w:ascii="Calibri" w:hAnsi="Calibri"/>
          <w:sz w:val="22"/>
          <w:szCs w:val="22"/>
        </w:rPr>
        <w:t xml:space="preserve"> je dostačující následující způsob zabezpečení:</w:t>
      </w:r>
    </w:p>
    <w:p w14:paraId="1C455734" w14:textId="77777777" w:rsidR="00D80766" w:rsidRPr="00400840" w:rsidRDefault="00A94AF0" w:rsidP="00D80766">
      <w:pPr>
        <w:pStyle w:val="Seznam"/>
        <w:ind w:left="720" w:firstLine="0"/>
        <w:jc w:val="both"/>
        <w:rPr>
          <w:rFonts w:ascii="Calibri" w:hAnsi="Calibri"/>
          <w:sz w:val="22"/>
          <w:szCs w:val="22"/>
        </w:rPr>
      </w:pPr>
      <w:r w:rsidRPr="00400840">
        <w:rPr>
          <w:rFonts w:ascii="Calibri" w:hAnsi="Calibri"/>
          <w:sz w:val="22"/>
          <w:szCs w:val="22"/>
        </w:rPr>
        <w:t>Pojištěné v</w:t>
      </w:r>
      <w:r w:rsidR="00D80766" w:rsidRPr="00400840">
        <w:rPr>
          <w:rFonts w:ascii="Calibri" w:hAnsi="Calibri"/>
          <w:sz w:val="22"/>
          <w:szCs w:val="22"/>
        </w:rPr>
        <w:t>ěci jsou v době pojistné události umístěny na pozemku opatřeném oplocením o celkové minimální výšce 160 cm</w:t>
      </w:r>
      <w:r w:rsidR="00C66F7D" w:rsidRPr="00400840">
        <w:rPr>
          <w:rFonts w:ascii="Calibri" w:hAnsi="Calibri"/>
          <w:sz w:val="22"/>
          <w:szCs w:val="22"/>
        </w:rPr>
        <w:t xml:space="preserve"> s řádně uzavřenými a uzamčenými vstupními otvory (vrata, dveře apod.).</w:t>
      </w:r>
    </w:p>
    <w:p w14:paraId="2B2F3A30" w14:textId="77777777" w:rsidR="00C15DF5" w:rsidRPr="00400840" w:rsidRDefault="00C15DF5" w:rsidP="00C15DF5">
      <w:pPr>
        <w:pStyle w:val="Seznam"/>
        <w:ind w:left="720" w:firstLine="0"/>
        <w:jc w:val="both"/>
        <w:rPr>
          <w:rFonts w:ascii="Calibri" w:hAnsi="Calibri"/>
          <w:sz w:val="22"/>
          <w:szCs w:val="22"/>
        </w:rPr>
      </w:pPr>
      <w:r w:rsidRPr="00400840">
        <w:rPr>
          <w:rFonts w:ascii="Calibri" w:hAnsi="Calibri"/>
          <w:sz w:val="22"/>
          <w:szCs w:val="22"/>
        </w:rPr>
        <w:t xml:space="preserve">Pro limit plnění </w:t>
      </w:r>
      <w:r w:rsidRPr="00400840">
        <w:rPr>
          <w:rFonts w:ascii="Calibri" w:hAnsi="Calibri"/>
          <w:b/>
          <w:sz w:val="22"/>
          <w:szCs w:val="22"/>
        </w:rPr>
        <w:t>do 500 000 Kč</w:t>
      </w:r>
      <w:r w:rsidRPr="00400840">
        <w:rPr>
          <w:rFonts w:ascii="Calibri" w:hAnsi="Calibri"/>
          <w:sz w:val="22"/>
          <w:szCs w:val="22"/>
        </w:rPr>
        <w:t xml:space="preserve"> je dostačující následující způsob zabezpečení:</w:t>
      </w:r>
    </w:p>
    <w:p w14:paraId="4DD8042D" w14:textId="25110D79" w:rsidR="00946138" w:rsidRDefault="00D616BB" w:rsidP="00946138">
      <w:pPr>
        <w:pStyle w:val="Seznam"/>
        <w:ind w:left="720" w:firstLine="0"/>
        <w:jc w:val="both"/>
        <w:rPr>
          <w:rFonts w:ascii="Calibri" w:hAnsi="Calibri"/>
          <w:sz w:val="22"/>
          <w:szCs w:val="22"/>
        </w:rPr>
      </w:pPr>
      <w:r w:rsidRPr="00400840">
        <w:rPr>
          <w:rFonts w:ascii="Calibri" w:hAnsi="Calibri"/>
          <w:sz w:val="22"/>
          <w:szCs w:val="22"/>
        </w:rPr>
        <w:t>Pojištěné v</w:t>
      </w:r>
      <w:r w:rsidR="00C15DF5" w:rsidRPr="00400840">
        <w:rPr>
          <w:rFonts w:ascii="Calibri" w:hAnsi="Calibri"/>
          <w:sz w:val="22"/>
          <w:szCs w:val="22"/>
        </w:rPr>
        <w:t>ěci jsou v době pojistné události umístěny na pozemku opatřeném oplocením o celkové minimální výšc</w:t>
      </w:r>
      <w:r w:rsidR="00C66F7D" w:rsidRPr="00400840">
        <w:rPr>
          <w:rFonts w:ascii="Calibri" w:hAnsi="Calibri"/>
          <w:sz w:val="22"/>
          <w:szCs w:val="22"/>
        </w:rPr>
        <w:t>e 160 cm s řádně uzavřenými a uzamčenými vstupními otvory (vrata, dveře apod.)</w:t>
      </w:r>
      <w:r w:rsidR="00C15DF5" w:rsidRPr="00400840">
        <w:rPr>
          <w:rFonts w:ascii="Calibri" w:hAnsi="Calibri"/>
          <w:sz w:val="22"/>
          <w:szCs w:val="22"/>
        </w:rPr>
        <w:t>, které jsou uzamčeny bezpečnostním visacím zámkem nebo zámkem s bezpečnostní cylindrickou vložkou.</w:t>
      </w:r>
    </w:p>
    <w:p w14:paraId="1A3EAF54" w14:textId="77777777" w:rsidR="009941AE" w:rsidRPr="00400840" w:rsidRDefault="009941AE" w:rsidP="00946138">
      <w:pPr>
        <w:pStyle w:val="Seznam"/>
        <w:ind w:left="720" w:firstLine="0"/>
        <w:jc w:val="both"/>
        <w:rPr>
          <w:rFonts w:ascii="Calibri" w:hAnsi="Calibri"/>
          <w:sz w:val="22"/>
          <w:szCs w:val="22"/>
        </w:rPr>
      </w:pPr>
    </w:p>
    <w:p w14:paraId="61F47A89" w14:textId="77777777" w:rsidR="009941AE" w:rsidRPr="00400840" w:rsidRDefault="009941AE" w:rsidP="009941AE">
      <w:pPr>
        <w:pStyle w:val="Seznam"/>
        <w:ind w:left="0" w:firstLine="0"/>
        <w:jc w:val="both"/>
        <w:rPr>
          <w:rFonts w:ascii="Calibri" w:hAnsi="Calibri"/>
          <w:sz w:val="22"/>
          <w:szCs w:val="22"/>
        </w:rPr>
      </w:pPr>
    </w:p>
    <w:p w14:paraId="6977B1DD" w14:textId="77777777" w:rsidR="00EC69B2" w:rsidRPr="00155D39" w:rsidRDefault="00266155" w:rsidP="000C7D66">
      <w:pPr>
        <w:pStyle w:val="Seznam"/>
        <w:numPr>
          <w:ilvl w:val="0"/>
          <w:numId w:val="1"/>
        </w:numPr>
        <w:jc w:val="both"/>
        <w:rPr>
          <w:rFonts w:ascii="Calibri" w:hAnsi="Calibri"/>
          <w:b/>
          <w:bCs/>
          <w:sz w:val="22"/>
          <w:szCs w:val="22"/>
        </w:rPr>
      </w:pPr>
      <w:r w:rsidRPr="00155D39">
        <w:rPr>
          <w:rFonts w:ascii="Calibri" w:hAnsi="Calibri"/>
          <w:b/>
          <w:bCs/>
          <w:sz w:val="22"/>
          <w:szCs w:val="22"/>
        </w:rPr>
        <w:t>V</w:t>
      </w:r>
      <w:r w:rsidR="003F20C8" w:rsidRPr="00155D39">
        <w:rPr>
          <w:rFonts w:ascii="Calibri" w:hAnsi="Calibri"/>
          <w:b/>
          <w:bCs/>
          <w:sz w:val="22"/>
          <w:szCs w:val="22"/>
        </w:rPr>
        <w:t> případě krádeže vloupáním</w:t>
      </w:r>
      <w:r w:rsidR="0004391E" w:rsidRPr="00155D39">
        <w:rPr>
          <w:rFonts w:ascii="Calibri" w:hAnsi="Calibri"/>
          <w:b/>
          <w:bCs/>
          <w:sz w:val="22"/>
          <w:szCs w:val="22"/>
        </w:rPr>
        <w:t xml:space="preserve"> u jízdních kol</w:t>
      </w:r>
      <w:r w:rsidR="00FD0CD8" w:rsidRPr="00155D39">
        <w:rPr>
          <w:rFonts w:ascii="Calibri" w:hAnsi="Calibri"/>
          <w:b/>
          <w:bCs/>
          <w:sz w:val="22"/>
          <w:szCs w:val="22"/>
        </w:rPr>
        <w:t xml:space="preserve"> poskytne pojistitel plnění, budou-li pojištěné věci zabezpečeny následovně:</w:t>
      </w:r>
    </w:p>
    <w:p w14:paraId="2FEF59BB" w14:textId="576E1C51" w:rsidR="00AA7BFF" w:rsidRDefault="00FD0CD8" w:rsidP="00EE5F8D">
      <w:pPr>
        <w:pStyle w:val="Seznam"/>
        <w:ind w:left="720" w:firstLine="0"/>
        <w:jc w:val="both"/>
        <w:rPr>
          <w:rFonts w:ascii="Calibri" w:hAnsi="Calibri"/>
          <w:sz w:val="22"/>
          <w:szCs w:val="22"/>
        </w:rPr>
      </w:pPr>
      <w:r w:rsidRPr="00400840">
        <w:rPr>
          <w:rFonts w:ascii="Calibri" w:hAnsi="Calibri"/>
          <w:sz w:val="22"/>
          <w:szCs w:val="22"/>
        </w:rPr>
        <w:t>Místem pojištění je místo určené nebo obvyklé k odkládání pojištěné věci. Ujednává se, že budou-li pojištěné věci uloženy i mimo uzavřený prostor mimo oplocené prostranství v době pojistné události, poskytne pojistitel plnění, budou-li prokazatelně uzamčeny lankovým nebo řetízkovým zámkem na zamykání jízdních kol k příslušenství budovy nebo ke stavebním součástem budovy, ke stojanům či jinak odolným konstrukcím takovým způsob</w:t>
      </w:r>
      <w:r w:rsidR="003F20C8" w:rsidRPr="00400840">
        <w:rPr>
          <w:rFonts w:ascii="Calibri" w:hAnsi="Calibri"/>
          <w:sz w:val="22"/>
          <w:szCs w:val="22"/>
        </w:rPr>
        <w:t xml:space="preserve">em, aby ho nebylo možné </w:t>
      </w:r>
      <w:proofErr w:type="gramStart"/>
      <w:r w:rsidR="003F20C8" w:rsidRPr="00400840">
        <w:rPr>
          <w:rFonts w:ascii="Calibri" w:hAnsi="Calibri"/>
          <w:sz w:val="22"/>
          <w:szCs w:val="22"/>
        </w:rPr>
        <w:t>odcizit</w:t>
      </w:r>
      <w:proofErr w:type="gramEnd"/>
      <w:r w:rsidR="003F20C8" w:rsidRPr="00400840">
        <w:rPr>
          <w:rFonts w:ascii="Calibri" w:hAnsi="Calibri"/>
          <w:sz w:val="22"/>
          <w:szCs w:val="22"/>
        </w:rPr>
        <w:t xml:space="preserve"> </w:t>
      </w:r>
      <w:r w:rsidRPr="00400840">
        <w:rPr>
          <w:rFonts w:ascii="Calibri" w:hAnsi="Calibri"/>
          <w:sz w:val="22"/>
          <w:szCs w:val="22"/>
        </w:rPr>
        <w:t>aniž pachatel překonal zámek nebo závažným způsobem rozrušil pevný konstrukční díl samotného předmětu.</w:t>
      </w:r>
    </w:p>
    <w:p w14:paraId="36413AF3" w14:textId="77777777" w:rsidR="009941AE" w:rsidRPr="00EE5F8D" w:rsidRDefault="009941AE" w:rsidP="00EE5F8D">
      <w:pPr>
        <w:pStyle w:val="Seznam"/>
        <w:ind w:left="720" w:firstLine="0"/>
        <w:jc w:val="both"/>
        <w:rPr>
          <w:rFonts w:ascii="Calibri" w:hAnsi="Calibri"/>
          <w:sz w:val="22"/>
          <w:szCs w:val="22"/>
        </w:rPr>
      </w:pPr>
    </w:p>
    <w:p w14:paraId="0C522ABC" w14:textId="3CA51B31" w:rsidR="00116755" w:rsidRPr="00322B97" w:rsidRDefault="0060659C" w:rsidP="006F0252">
      <w:pPr>
        <w:numPr>
          <w:ilvl w:val="0"/>
          <w:numId w:val="1"/>
        </w:numPr>
        <w:spacing w:after="0" w:line="240" w:lineRule="auto"/>
        <w:jc w:val="both"/>
        <w:rPr>
          <w:b/>
        </w:rPr>
      </w:pPr>
      <w:r w:rsidRPr="00322B97">
        <w:rPr>
          <w:b/>
        </w:rPr>
        <w:t xml:space="preserve">Pro </w:t>
      </w:r>
      <w:r w:rsidR="00987F76">
        <w:rPr>
          <w:b/>
        </w:rPr>
        <w:t>přenosnou</w:t>
      </w:r>
      <w:r w:rsidRPr="00322B97">
        <w:rPr>
          <w:b/>
        </w:rPr>
        <w:t xml:space="preserve"> elektroniku </w:t>
      </w:r>
      <w:r w:rsidR="00FD2549" w:rsidRPr="00322B97">
        <w:rPr>
          <w:b/>
        </w:rPr>
        <w:t xml:space="preserve">se sjednává </w:t>
      </w:r>
      <w:r w:rsidR="003133F5" w:rsidRPr="00322B97">
        <w:rPr>
          <w:b/>
        </w:rPr>
        <w:t>následující</w:t>
      </w:r>
      <w:r w:rsidR="0021648C" w:rsidRPr="00322B97">
        <w:rPr>
          <w:b/>
        </w:rPr>
        <w:t xml:space="preserve"> odchylný</w:t>
      </w:r>
      <w:r w:rsidR="003133F5" w:rsidRPr="00322B97">
        <w:rPr>
          <w:b/>
        </w:rPr>
        <w:t xml:space="preserve"> stupeň zabezpečení v případě krádeže vloupáním</w:t>
      </w:r>
      <w:r w:rsidR="003C3544" w:rsidRPr="00322B97">
        <w:rPr>
          <w:b/>
        </w:rPr>
        <w:t xml:space="preserve"> z řádně uzavřeného a uzamčeného motorového vozidla</w:t>
      </w:r>
      <w:r w:rsidR="003133F5" w:rsidRPr="00322B97">
        <w:rPr>
          <w:b/>
        </w:rPr>
        <w:t>:</w:t>
      </w:r>
    </w:p>
    <w:p w14:paraId="473E32EE" w14:textId="77777777" w:rsidR="00AC417C" w:rsidRPr="00322B97" w:rsidRDefault="00AC417C" w:rsidP="00477E4E">
      <w:pPr>
        <w:spacing w:after="0" w:line="240" w:lineRule="auto"/>
        <w:ind w:left="720"/>
        <w:jc w:val="both"/>
        <w:rPr>
          <w:b/>
        </w:rPr>
      </w:pPr>
      <w:r w:rsidRPr="00322B97">
        <w:t xml:space="preserve">Ujednává se, že odcizením věci krádeží vloupáním se pro účely tohoto připojištění rozumí přivlastnění si pojištěné věci, její části nebo jejího příslušenství tak, že se jí pachatel zmocnil z uzamčeného prostoru, uzamčeným prostorem se také rozumí vnitřní prostor řádně uzavřeného a uzamčeného motorového vozidla. </w:t>
      </w:r>
    </w:p>
    <w:p w14:paraId="3834BCFD" w14:textId="77777777" w:rsidR="0021648C" w:rsidRPr="00322B97" w:rsidRDefault="0021648C" w:rsidP="00477E4E">
      <w:pPr>
        <w:spacing w:after="0" w:line="240" w:lineRule="auto"/>
        <w:ind w:left="720"/>
        <w:jc w:val="both"/>
      </w:pPr>
      <w:r w:rsidRPr="00322B97">
        <w:t>V případě, že došlo k odcizení předmětu pojištění krádeží vloupáním z motorového vozidla, pojišťovna poskytne pojistné plnění jen tehdy, pokud se předmět pojištění nacházel prokazatel</w:t>
      </w:r>
      <w:r w:rsidR="00753FB7" w:rsidRPr="00322B97">
        <w:t xml:space="preserve">ně v zavazadlovém prostoru, </w:t>
      </w:r>
      <w:r w:rsidRPr="00322B97">
        <w:t>v palubní schránce</w:t>
      </w:r>
      <w:r w:rsidR="00753FB7" w:rsidRPr="00322B97">
        <w:t xml:space="preserve"> nebo</w:t>
      </w:r>
      <w:r w:rsidRPr="00322B97">
        <w:t xml:space="preserve"> tak, aby nebyl zvenku vidět. Vozidlo musí být uzavřeno a uzamčeno a všechny bezpečnostní mechanismy musí být funkční a aktivní.</w:t>
      </w:r>
    </w:p>
    <w:p w14:paraId="5A42F84C" w14:textId="7F7F48DA" w:rsidR="0021648C" w:rsidRDefault="0021648C" w:rsidP="00477E4E">
      <w:pPr>
        <w:spacing w:after="0" w:line="240" w:lineRule="auto"/>
        <w:ind w:left="720"/>
        <w:jc w:val="both"/>
      </w:pPr>
      <w:r w:rsidRPr="00322B97">
        <w:t xml:space="preserve">Došlo-li k odcizení motorového vozidla, ve kterém se předmět pojištění nacházel, pojišťovna poskytne pojistné plnění za předmět pojištění jen tehdy, pokud bylo motorové vozidlo řádně uzavřeno a uzamčeno a odcizení tohoto vozidla se přihodilo prokazatelně mezi 6.00-22.00 hod. </w:t>
      </w:r>
      <w:r w:rsidRPr="00322B97">
        <w:lastRenderedPageBreak/>
        <w:t>Pojišťovna poskytne pojistné plnění jako za předmět odcizený krádeží vloupáním nebo odcizením loupeží. Časová omezení neplatí, bylo-li vozidlo odstaveno v uzamčeném místě pojištění nebo na celodenně hlídaném parkovišti.</w:t>
      </w:r>
    </w:p>
    <w:p w14:paraId="511AC576" w14:textId="77777777" w:rsidR="009941AE" w:rsidRPr="00322B97" w:rsidRDefault="009941AE" w:rsidP="00477E4E">
      <w:pPr>
        <w:spacing w:after="0" w:line="240" w:lineRule="auto"/>
        <w:ind w:left="720"/>
        <w:jc w:val="both"/>
      </w:pPr>
    </w:p>
    <w:p w14:paraId="3431DA05" w14:textId="77777777" w:rsidR="009C3C00" w:rsidRPr="00FC08D2" w:rsidRDefault="009C3C00" w:rsidP="0077758E">
      <w:pPr>
        <w:spacing w:after="0" w:line="240" w:lineRule="auto"/>
      </w:pPr>
    </w:p>
    <w:p w14:paraId="2C35DDD7" w14:textId="7D9EEA5C" w:rsidR="00214048" w:rsidRPr="00FC08D2" w:rsidRDefault="006D30F0" w:rsidP="00275895">
      <w:pPr>
        <w:shd w:val="clear" w:color="auto" w:fill="FFFFFF" w:themeFill="background1"/>
        <w:spacing w:after="0" w:line="240" w:lineRule="auto"/>
        <w:jc w:val="both"/>
        <w:rPr>
          <w:b/>
        </w:rPr>
      </w:pPr>
      <w:r>
        <w:rPr>
          <w:b/>
        </w:rPr>
        <w:t>7</w:t>
      </w:r>
      <w:r w:rsidR="00214048" w:rsidRPr="00275895">
        <w:rPr>
          <w:b/>
        </w:rPr>
        <w:t>.</w:t>
      </w:r>
      <w:r>
        <w:rPr>
          <w:b/>
        </w:rPr>
        <w:t>4</w:t>
      </w:r>
      <w:r w:rsidR="00214048" w:rsidRPr="00275895">
        <w:rPr>
          <w:b/>
        </w:rPr>
        <w:t xml:space="preserve">. Smluvní ujednání </w:t>
      </w:r>
      <w:r w:rsidR="001B5220">
        <w:rPr>
          <w:b/>
        </w:rPr>
        <w:t>k pojištění skel</w:t>
      </w:r>
    </w:p>
    <w:p w14:paraId="35EE467D" w14:textId="77777777" w:rsidR="00C92588" w:rsidRDefault="00C92588" w:rsidP="00C92588">
      <w:pPr>
        <w:spacing w:after="0" w:line="240" w:lineRule="auto"/>
        <w:jc w:val="both"/>
      </w:pPr>
    </w:p>
    <w:p w14:paraId="1E520D22" w14:textId="7B1DFE6F" w:rsidR="008461FA" w:rsidRDefault="008461FA" w:rsidP="00B45D1C">
      <w:pPr>
        <w:numPr>
          <w:ilvl w:val="0"/>
          <w:numId w:val="3"/>
        </w:numPr>
        <w:spacing w:after="0" w:line="240" w:lineRule="auto"/>
        <w:jc w:val="both"/>
      </w:pPr>
      <w:r>
        <w:t xml:space="preserve">Pojištění skel se vztahuje i na neodnímatelné snímače a zabezpečovací zařízení, nalepené fólie, nápisy, malby nebo jiné výzdoby, jsou-li součástí pojištěného skla. Pojištění se vztahuje i na vnější osvětlení, světelné reklamy a světelné nápisy včetně jejich elektrické instalace a nosné konstrukce. Pojištění se vztahuje i na obyčejné sklo v oknech, dveřích, světlících a střechách jakékoliv tloušťky. Pojištění se vztahuje i na skleněné pulty, vitríny a skleněné stěny uvnitř budovy, skla zrcadel, skleněné výplně nábytku, sklokeramické nebo indukční varné desky a </w:t>
      </w:r>
      <w:proofErr w:type="spellStart"/>
      <w:r>
        <w:t>termoskla</w:t>
      </w:r>
      <w:proofErr w:type="spellEnd"/>
      <w:r>
        <w:t xml:space="preserve"> spotřebičů, dále na zasklení stacionárních strojů a automatů. Pojištění skel se vztahuje i na škody vzniklé na ohýbaném a vypouklém skle. Pojištění se vztahuje i na plexiskle a jiných umělých hmotách, použitých místo skla. Pojištění se vztahuje i na sanitární keramiku, včetně materiálů používaných jako náhrada keramiky, vč. plastu. </w:t>
      </w:r>
    </w:p>
    <w:p w14:paraId="4CCE92EA" w14:textId="77777777" w:rsidR="008461FA" w:rsidRDefault="008461FA" w:rsidP="008461FA">
      <w:pPr>
        <w:spacing w:after="0" w:line="240" w:lineRule="auto"/>
        <w:jc w:val="both"/>
      </w:pPr>
    </w:p>
    <w:p w14:paraId="13235E5B" w14:textId="4E22D765" w:rsidR="00496896" w:rsidRDefault="00496896" w:rsidP="0077758E">
      <w:pPr>
        <w:numPr>
          <w:ilvl w:val="0"/>
          <w:numId w:val="3"/>
        </w:numPr>
        <w:spacing w:after="0" w:line="240" w:lineRule="auto"/>
        <w:jc w:val="both"/>
      </w:pPr>
      <w:r>
        <w:t xml:space="preserve">Pojištění se vztahuje i </w:t>
      </w:r>
      <w:r w:rsidR="00DA6379">
        <w:t xml:space="preserve">na </w:t>
      </w:r>
      <w:r w:rsidRPr="00496896">
        <w:t>montáže a demontáže stavebních součástí nutné k provedení nouzového osazení okenních tabulí či opravy zasklení</w:t>
      </w:r>
    </w:p>
    <w:p w14:paraId="1F53A345" w14:textId="77777777" w:rsidR="00395F14" w:rsidRDefault="00395F14" w:rsidP="0077758E">
      <w:pPr>
        <w:spacing w:after="0" w:line="240" w:lineRule="auto"/>
        <w:rPr>
          <w:b/>
        </w:rPr>
      </w:pPr>
      <w:bookmarkStart w:id="5" w:name="_Hlk54547646"/>
    </w:p>
    <w:p w14:paraId="34169A53" w14:textId="77777777" w:rsidR="007C1E34" w:rsidRPr="00FC08D2" w:rsidRDefault="007C1E34" w:rsidP="0077758E">
      <w:pPr>
        <w:spacing w:after="0" w:line="240" w:lineRule="auto"/>
        <w:rPr>
          <w:b/>
        </w:rPr>
      </w:pPr>
    </w:p>
    <w:p w14:paraId="4B27384A" w14:textId="0CD140C1" w:rsidR="00214048" w:rsidRDefault="006D30F0" w:rsidP="00275895">
      <w:pPr>
        <w:shd w:val="clear" w:color="auto" w:fill="FFFFFF" w:themeFill="background1"/>
        <w:spacing w:after="0" w:line="240" w:lineRule="auto"/>
        <w:rPr>
          <w:b/>
        </w:rPr>
      </w:pPr>
      <w:r>
        <w:rPr>
          <w:b/>
        </w:rPr>
        <w:t>7</w:t>
      </w:r>
      <w:r w:rsidR="009D2EB8" w:rsidRPr="00275895">
        <w:rPr>
          <w:b/>
        </w:rPr>
        <w:t>.</w:t>
      </w:r>
      <w:r>
        <w:rPr>
          <w:b/>
        </w:rPr>
        <w:t>5</w:t>
      </w:r>
      <w:r w:rsidR="00214048" w:rsidRPr="00275895">
        <w:rPr>
          <w:b/>
        </w:rPr>
        <w:t xml:space="preserve">. Smluvní </w:t>
      </w:r>
      <w:proofErr w:type="gramStart"/>
      <w:r w:rsidR="00214048" w:rsidRPr="00275895">
        <w:rPr>
          <w:b/>
        </w:rPr>
        <w:t>u</w:t>
      </w:r>
      <w:r w:rsidR="00B16F89" w:rsidRPr="00275895">
        <w:rPr>
          <w:b/>
        </w:rPr>
        <w:t xml:space="preserve">jednání </w:t>
      </w:r>
      <w:r>
        <w:rPr>
          <w:b/>
        </w:rPr>
        <w:t xml:space="preserve"> k</w:t>
      </w:r>
      <w:proofErr w:type="gramEnd"/>
      <w:r w:rsidR="00B16F89" w:rsidRPr="00275895">
        <w:rPr>
          <w:b/>
        </w:rPr>
        <w:t xml:space="preserve"> pojištění </w:t>
      </w:r>
      <w:r w:rsidR="00AA0736">
        <w:rPr>
          <w:b/>
        </w:rPr>
        <w:t>stro</w:t>
      </w:r>
      <w:r w:rsidR="004840CB">
        <w:rPr>
          <w:b/>
        </w:rPr>
        <w:t xml:space="preserve">jů a </w:t>
      </w:r>
      <w:r w:rsidR="00B16F89" w:rsidRPr="00275895">
        <w:rPr>
          <w:b/>
        </w:rPr>
        <w:t>elektroniky:</w:t>
      </w:r>
      <w:r w:rsidR="003D0C11" w:rsidRPr="003D0C11">
        <w:rPr>
          <w:b/>
        </w:rPr>
        <w:tab/>
      </w:r>
      <w:r w:rsidR="003D0C11" w:rsidRPr="003D0C11">
        <w:rPr>
          <w:b/>
        </w:rPr>
        <w:tab/>
      </w:r>
      <w:r w:rsidR="003D0C11" w:rsidRPr="003D0C11">
        <w:rPr>
          <w:b/>
        </w:rPr>
        <w:tab/>
      </w:r>
      <w:r w:rsidR="003D0C11" w:rsidRPr="003D0C11">
        <w:rPr>
          <w:b/>
        </w:rPr>
        <w:tab/>
      </w:r>
      <w:r w:rsidR="003D0C11" w:rsidRPr="003D0C11">
        <w:rPr>
          <w:b/>
        </w:rPr>
        <w:tab/>
      </w:r>
      <w:r w:rsidR="003D0C11" w:rsidRPr="003D0C11">
        <w:rPr>
          <w:b/>
        </w:rPr>
        <w:tab/>
      </w:r>
    </w:p>
    <w:p w14:paraId="5C433AC6" w14:textId="77777777" w:rsidR="00074499" w:rsidRPr="003D0C11" w:rsidRDefault="00074499" w:rsidP="00275895">
      <w:pPr>
        <w:shd w:val="clear" w:color="auto" w:fill="FFFFFF" w:themeFill="background1"/>
        <w:spacing w:after="0" w:line="240" w:lineRule="auto"/>
        <w:rPr>
          <w:b/>
        </w:rPr>
      </w:pPr>
    </w:p>
    <w:p w14:paraId="3AA74F9E" w14:textId="550124DA" w:rsidR="00A5664E" w:rsidRDefault="001A1283" w:rsidP="00991D25">
      <w:pPr>
        <w:numPr>
          <w:ilvl w:val="0"/>
          <w:numId w:val="2"/>
        </w:numPr>
        <w:spacing w:after="0" w:line="240" w:lineRule="auto"/>
        <w:jc w:val="both"/>
      </w:pPr>
      <w:proofErr w:type="gramStart"/>
      <w:r w:rsidRPr="00FC08D2">
        <w:t>Pojištění  se</w:t>
      </w:r>
      <w:proofErr w:type="gramEnd"/>
      <w:r w:rsidRPr="00FC08D2">
        <w:t xml:space="preserve"> vztahuje také na základní software.</w:t>
      </w:r>
    </w:p>
    <w:p w14:paraId="152E1A97" w14:textId="77777777" w:rsidR="003B6D01" w:rsidRDefault="003B6D01" w:rsidP="003B6D01">
      <w:pPr>
        <w:spacing w:after="0" w:line="240" w:lineRule="auto"/>
        <w:ind w:left="720"/>
        <w:jc w:val="both"/>
      </w:pPr>
    </w:p>
    <w:p w14:paraId="1772F5BA" w14:textId="2D43FB18" w:rsidR="003B6D01" w:rsidRDefault="003B6D01" w:rsidP="00991D25">
      <w:pPr>
        <w:numPr>
          <w:ilvl w:val="0"/>
          <w:numId w:val="2"/>
        </w:numPr>
        <w:spacing w:after="0" w:line="240" w:lineRule="auto"/>
        <w:jc w:val="both"/>
      </w:pPr>
      <w:proofErr w:type="gramStart"/>
      <w:r>
        <w:t xml:space="preserve">Pojištění </w:t>
      </w:r>
      <w:r w:rsidR="006B4C9D">
        <w:t xml:space="preserve"> se</w:t>
      </w:r>
      <w:proofErr w:type="gramEnd"/>
      <w:r w:rsidR="006B4C9D">
        <w:t xml:space="preserve"> vztahuje také na přenosnou elektroniku.</w:t>
      </w:r>
    </w:p>
    <w:p w14:paraId="6A966863" w14:textId="77777777" w:rsidR="009941AE" w:rsidRPr="00496896" w:rsidRDefault="009941AE" w:rsidP="009941AE">
      <w:pPr>
        <w:spacing w:after="0" w:line="240" w:lineRule="auto"/>
        <w:ind w:left="720"/>
        <w:jc w:val="both"/>
      </w:pPr>
    </w:p>
    <w:p w14:paraId="00D5DE82" w14:textId="54D84EE3" w:rsidR="00395F14" w:rsidRDefault="00395F14" w:rsidP="00496896">
      <w:pPr>
        <w:numPr>
          <w:ilvl w:val="0"/>
          <w:numId w:val="2"/>
        </w:numPr>
        <w:spacing w:after="0" w:line="240" w:lineRule="auto"/>
        <w:jc w:val="both"/>
      </w:pPr>
      <w:proofErr w:type="gramStart"/>
      <w:r w:rsidRPr="00395F14">
        <w:t>Pojištění  se</w:t>
      </w:r>
      <w:proofErr w:type="gramEnd"/>
      <w:r w:rsidRPr="00395F14">
        <w:t xml:space="preserve"> vztahuje také na </w:t>
      </w:r>
      <w:r>
        <w:t xml:space="preserve">skleněné součásti pojištěných zařízení. </w:t>
      </w:r>
    </w:p>
    <w:bookmarkEnd w:id="5"/>
    <w:p w14:paraId="685AEEB9" w14:textId="77777777" w:rsidR="009941AE" w:rsidRDefault="009941AE" w:rsidP="00496896">
      <w:pPr>
        <w:spacing w:after="0" w:line="240" w:lineRule="auto"/>
        <w:ind w:left="720"/>
        <w:jc w:val="both"/>
      </w:pPr>
    </w:p>
    <w:p w14:paraId="6954628B" w14:textId="3002ABC0" w:rsidR="00496896" w:rsidRDefault="00496896" w:rsidP="00496896">
      <w:pPr>
        <w:numPr>
          <w:ilvl w:val="0"/>
          <w:numId w:val="2"/>
        </w:numPr>
        <w:spacing w:after="0" w:line="240" w:lineRule="auto"/>
        <w:jc w:val="both"/>
      </w:pPr>
      <w:r>
        <w:t xml:space="preserve">Pojištění </w:t>
      </w:r>
      <w:r w:rsidR="00CD77AD">
        <w:t xml:space="preserve">se </w:t>
      </w:r>
      <w:r>
        <w:t>vztahuje také na lékařské a vyšetřovací sondy</w:t>
      </w:r>
      <w:r w:rsidR="008D710D">
        <w:t>. Limitem plnění je 500.000 Kč</w:t>
      </w:r>
    </w:p>
    <w:p w14:paraId="280BFCBF" w14:textId="77777777" w:rsidR="009941AE" w:rsidRDefault="009941AE" w:rsidP="00496896">
      <w:pPr>
        <w:spacing w:after="0" w:line="240" w:lineRule="auto"/>
        <w:ind w:left="720"/>
        <w:jc w:val="both"/>
      </w:pPr>
    </w:p>
    <w:p w14:paraId="02FEC203" w14:textId="6EEBE3F4" w:rsidR="00496896" w:rsidRDefault="00496896" w:rsidP="00496896">
      <w:pPr>
        <w:numPr>
          <w:ilvl w:val="0"/>
          <w:numId w:val="2"/>
        </w:numPr>
        <w:spacing w:after="0" w:line="240" w:lineRule="auto"/>
        <w:jc w:val="both"/>
      </w:pPr>
      <w:r>
        <w:t xml:space="preserve">pojištění vztahuje i poškození, zničení či </w:t>
      </w:r>
      <w:proofErr w:type="gramStart"/>
      <w:r>
        <w:t>pohřešovaní  elektronek</w:t>
      </w:r>
      <w:proofErr w:type="gramEnd"/>
      <w:r>
        <w:t xml:space="preserve">, snímačů a </w:t>
      </w:r>
      <w:proofErr w:type="spellStart"/>
      <w:r>
        <w:t>mezinosičů</w:t>
      </w:r>
      <w:proofErr w:type="spellEnd"/>
      <w:r>
        <w:t xml:space="preserve"> obrazu. Pojistitel poskytne pojistné plnění ve stejném poměru k vzniklé škodě, jako je zbývající doba životnosti pojištěné věci ku počáteční životnosti garantované výrobcem či dodavatelem této pojištěné věci.</w:t>
      </w:r>
    </w:p>
    <w:p w14:paraId="6A950D29" w14:textId="77777777" w:rsidR="009941AE" w:rsidRDefault="009941AE" w:rsidP="009941AE">
      <w:pPr>
        <w:spacing w:after="0" w:line="240" w:lineRule="auto"/>
        <w:ind w:left="720"/>
        <w:jc w:val="both"/>
      </w:pPr>
    </w:p>
    <w:p w14:paraId="6365256C" w14:textId="7326D21B" w:rsidR="00280C5A" w:rsidRDefault="00280C5A" w:rsidP="006B4D93">
      <w:pPr>
        <w:numPr>
          <w:ilvl w:val="0"/>
          <w:numId w:val="2"/>
        </w:numPr>
        <w:spacing w:after="0" w:line="240" w:lineRule="auto"/>
        <w:jc w:val="both"/>
      </w:pPr>
      <w:r w:rsidRPr="00280C5A">
        <w:t>Pojištění elektronických zařízení se vztahuje také na škody způsobené na pojištěném elektronickém zařízení výpadkem nebo přerušením dodávky plynu, vody, elektrické energie nebo jiného média (zejména způsobené přerušením nebo zastavením provozu zařízení, ať již částečného nebo úplného).</w:t>
      </w:r>
    </w:p>
    <w:p w14:paraId="33574B72" w14:textId="77777777" w:rsidR="009941AE" w:rsidRDefault="009941AE" w:rsidP="009941AE">
      <w:pPr>
        <w:spacing w:after="0" w:line="240" w:lineRule="auto"/>
        <w:jc w:val="both"/>
      </w:pPr>
    </w:p>
    <w:p w14:paraId="65E85348" w14:textId="0061AA04" w:rsidR="00951AC0" w:rsidRDefault="006B4D93" w:rsidP="006A3F1F">
      <w:pPr>
        <w:numPr>
          <w:ilvl w:val="0"/>
          <w:numId w:val="2"/>
        </w:numPr>
        <w:spacing w:after="0" w:line="240" w:lineRule="auto"/>
        <w:jc w:val="both"/>
      </w:pPr>
      <w:r w:rsidRPr="00395F14">
        <w:t xml:space="preserve">Pojištění se vztahuje i na pojištění jakéhokoliv poškození v důsledku neobvyklého, </w:t>
      </w:r>
      <w:proofErr w:type="gramStart"/>
      <w:r w:rsidRPr="00395F14">
        <w:t>nepředpokládaného</w:t>
      </w:r>
      <w:proofErr w:type="gramEnd"/>
      <w:r w:rsidRPr="00395F14">
        <w:t xml:space="preserve"> popř. pudového jednání pacientů při lékařských výkonech nebo léčení pacient</w:t>
      </w:r>
      <w:r w:rsidR="006A3F1F">
        <w:t>ů.</w:t>
      </w:r>
    </w:p>
    <w:p w14:paraId="403BD586" w14:textId="77777777" w:rsidR="006A3F1F" w:rsidRDefault="006A3F1F" w:rsidP="006A3F1F">
      <w:pPr>
        <w:spacing w:after="0" w:line="240" w:lineRule="auto"/>
        <w:jc w:val="both"/>
      </w:pPr>
    </w:p>
    <w:p w14:paraId="7175F85C" w14:textId="0F3FEE4E" w:rsidR="00496896" w:rsidRDefault="006A3F1F" w:rsidP="006A3F1F">
      <w:pPr>
        <w:numPr>
          <w:ilvl w:val="0"/>
          <w:numId w:val="2"/>
        </w:numPr>
        <w:spacing w:after="0" w:line="240" w:lineRule="auto"/>
        <w:jc w:val="both"/>
      </w:pPr>
      <w:r w:rsidRPr="006A3F1F">
        <w:t xml:space="preserve">Pojištění se vztahuje na pojištěná elektronická zařízení, která byla před pojistnou událostí funkční a v provozu, nebo jejich soubory, </w:t>
      </w:r>
      <w:r w:rsidRPr="009C3C00">
        <w:rPr>
          <w:b/>
          <w:bCs/>
        </w:rPr>
        <w:t>bez ohledu na jejich stáří</w:t>
      </w:r>
      <w:r w:rsidRPr="006A3F1F">
        <w:t>.</w:t>
      </w:r>
      <w:r w:rsidR="000C126B">
        <w:t xml:space="preserve"> V případě parciální škody bude hrazeno pojistné plnění v nových cenách max. do časové ceny věci, v případě totální škody bude hrazena časová cena věci</w:t>
      </w:r>
      <w:r w:rsidR="009C3C00">
        <w:t xml:space="preserve"> snížená o cenu </w:t>
      </w:r>
      <w:r w:rsidR="009C3C00" w:rsidRPr="009C3C00">
        <w:rPr>
          <w:b/>
          <w:bCs/>
        </w:rPr>
        <w:t>využitelných</w:t>
      </w:r>
      <w:r w:rsidR="009C3C00">
        <w:t xml:space="preserve"> zbytků</w:t>
      </w:r>
      <w:r w:rsidR="000C126B">
        <w:t>.</w:t>
      </w:r>
    </w:p>
    <w:p w14:paraId="316A347C" w14:textId="61FF37F5" w:rsidR="00395F14" w:rsidRDefault="00395F14" w:rsidP="00395F14">
      <w:pPr>
        <w:spacing w:after="0" w:line="240" w:lineRule="auto"/>
        <w:jc w:val="both"/>
      </w:pPr>
    </w:p>
    <w:p w14:paraId="7449010D" w14:textId="2FCDDA51" w:rsidR="00345FD7" w:rsidRDefault="00D234D3" w:rsidP="00CD45CA">
      <w:pPr>
        <w:numPr>
          <w:ilvl w:val="0"/>
          <w:numId w:val="2"/>
        </w:numPr>
        <w:spacing w:after="0" w:line="240" w:lineRule="auto"/>
        <w:jc w:val="both"/>
      </w:pPr>
      <w:r>
        <w:lastRenderedPageBreak/>
        <w:t xml:space="preserve">Pojištění se vztahuje </w:t>
      </w:r>
      <w:r w:rsidR="00345FD7">
        <w:t>i na poškození nebo zničení zásob</w:t>
      </w:r>
      <w:r w:rsidR="001F777C">
        <w:t xml:space="preserve"> </w:t>
      </w:r>
      <w:r w:rsidR="00345FD7">
        <w:t>uskladněných v chladicích nebo mrazicích zařízeních</w:t>
      </w:r>
      <w:r w:rsidR="001F777C">
        <w:t>,</w:t>
      </w:r>
      <w:r w:rsidR="00345FD7">
        <w:t xml:space="preserve"> ke kterému došlo v důsledku náhlého poškození nebo </w:t>
      </w:r>
      <w:proofErr w:type="gramStart"/>
      <w:r w:rsidR="00345FD7">
        <w:t>zničení  pojištěných</w:t>
      </w:r>
      <w:proofErr w:type="gramEnd"/>
      <w:r w:rsidR="00345FD7">
        <w:t xml:space="preserve"> zařízení, které je</w:t>
      </w:r>
      <w:r w:rsidR="0063009A">
        <w:t xml:space="preserve"> </w:t>
      </w:r>
      <w:r w:rsidR="00345FD7">
        <w:t xml:space="preserve">zároveň pojistnou událostí z pojištění </w:t>
      </w:r>
      <w:proofErr w:type="gramStart"/>
      <w:r w:rsidR="00345FD7">
        <w:t xml:space="preserve">strojů </w:t>
      </w:r>
      <w:r w:rsidR="0063009A">
        <w:t xml:space="preserve"> a</w:t>
      </w:r>
      <w:proofErr w:type="gramEnd"/>
      <w:r w:rsidR="0063009A">
        <w:t xml:space="preserve"> elektronických zařízení</w:t>
      </w:r>
      <w:r w:rsidR="00345FD7">
        <w:t>.</w:t>
      </w:r>
    </w:p>
    <w:p w14:paraId="574B1DE8" w14:textId="77777777" w:rsidR="006B7D6A" w:rsidRDefault="006B7D6A" w:rsidP="006B7D6A">
      <w:pPr>
        <w:spacing w:after="0" w:line="240" w:lineRule="auto"/>
        <w:ind w:left="720"/>
        <w:jc w:val="both"/>
      </w:pPr>
    </w:p>
    <w:p w14:paraId="2E7EC4DE" w14:textId="50533231" w:rsidR="00A601F2" w:rsidRDefault="00A601F2" w:rsidP="003E5E8C">
      <w:pPr>
        <w:spacing w:after="0" w:line="240" w:lineRule="auto"/>
        <w:jc w:val="both"/>
      </w:pPr>
    </w:p>
    <w:p w14:paraId="546698DE" w14:textId="44B5A11A" w:rsidR="00EC4367" w:rsidRDefault="000D4A96" w:rsidP="003E5E8C">
      <w:pPr>
        <w:spacing w:after="0" w:line="240" w:lineRule="auto"/>
        <w:jc w:val="both"/>
        <w:rPr>
          <w:b/>
        </w:rPr>
      </w:pPr>
      <w:r>
        <w:rPr>
          <w:b/>
          <w:bCs/>
        </w:rPr>
        <w:t>7</w:t>
      </w:r>
      <w:r w:rsidR="006A3F1F" w:rsidRPr="004F740A">
        <w:rPr>
          <w:b/>
          <w:bCs/>
        </w:rPr>
        <w:t>.</w:t>
      </w:r>
      <w:r>
        <w:rPr>
          <w:b/>
          <w:bCs/>
        </w:rPr>
        <w:t>6</w:t>
      </w:r>
      <w:r w:rsidR="006A3F1F" w:rsidRPr="004F740A">
        <w:rPr>
          <w:b/>
          <w:bCs/>
        </w:rPr>
        <w:t xml:space="preserve">. Smluvní ujednání </w:t>
      </w:r>
      <w:r>
        <w:rPr>
          <w:b/>
          <w:bCs/>
        </w:rPr>
        <w:t>k</w:t>
      </w:r>
      <w:r w:rsidR="006A3F1F" w:rsidRPr="004F740A">
        <w:rPr>
          <w:b/>
          <w:bCs/>
        </w:rPr>
        <w:t xml:space="preserve"> pojištění přerušení prov</w:t>
      </w:r>
      <w:r w:rsidR="004F740A" w:rsidRPr="004F740A">
        <w:rPr>
          <w:b/>
          <w:bCs/>
        </w:rPr>
        <w:t>o</w:t>
      </w:r>
      <w:r w:rsidR="006A3F1F" w:rsidRPr="004F740A">
        <w:rPr>
          <w:b/>
          <w:bCs/>
        </w:rPr>
        <w:t>zu:</w:t>
      </w:r>
      <w:r w:rsidR="006A3F1F" w:rsidRPr="004F740A">
        <w:rPr>
          <w:b/>
          <w:bCs/>
        </w:rPr>
        <w:tab/>
      </w:r>
      <w:r w:rsidR="006A3F1F" w:rsidRPr="004F740A">
        <w:rPr>
          <w:b/>
          <w:bCs/>
        </w:rPr>
        <w:tab/>
      </w:r>
      <w:r w:rsidR="006A3F1F" w:rsidRPr="004F740A">
        <w:rPr>
          <w:b/>
          <w:bCs/>
        </w:rPr>
        <w:tab/>
      </w:r>
      <w:r w:rsidR="006A3F1F" w:rsidRPr="004F740A">
        <w:rPr>
          <w:b/>
          <w:bCs/>
        </w:rPr>
        <w:tab/>
      </w:r>
      <w:r w:rsidR="006A3F1F" w:rsidRPr="004F740A">
        <w:rPr>
          <w:b/>
          <w:bCs/>
        </w:rPr>
        <w:tab/>
      </w:r>
      <w:r w:rsidR="006A3F1F" w:rsidRPr="004F740A">
        <w:rPr>
          <w:b/>
          <w:bCs/>
        </w:rPr>
        <w:tab/>
      </w:r>
      <w:r w:rsidR="006A3F1F" w:rsidRPr="004F740A">
        <w:rPr>
          <w:b/>
          <w:bCs/>
        </w:rPr>
        <w:tab/>
      </w:r>
    </w:p>
    <w:p w14:paraId="027D4DF5" w14:textId="6DE6C3CC" w:rsidR="00EC4367" w:rsidRDefault="00EC4367" w:rsidP="004F740A">
      <w:pPr>
        <w:pStyle w:val="Odstavecseseznamem"/>
        <w:numPr>
          <w:ilvl w:val="0"/>
          <w:numId w:val="35"/>
        </w:numPr>
        <w:spacing w:after="0" w:line="240" w:lineRule="auto"/>
        <w:jc w:val="both"/>
      </w:pPr>
      <w:r w:rsidRPr="00EC4367">
        <w:t xml:space="preserve">Pojištění sjednané touto smlouvou zahrnuje také </w:t>
      </w:r>
      <w:r w:rsidRPr="004F740A">
        <w:rPr>
          <w:b/>
          <w:bCs/>
        </w:rPr>
        <w:t>zvýšené provozní náklady</w:t>
      </w:r>
      <w:r w:rsidRPr="00EC4367">
        <w:t xml:space="preserve"> a vícenáklady, které mají za cíl snížit pokles obratu, ke kterému by došlo během doby ručení, pokud by tyto náklady nebyly vynaloženy, nebo takovému poklesu obratu zcela zabránit. Toto pojištění se sjednává se samostatným limitem plnění (první riziko) ve výši uvedené v přehledu pojistných částek. </w:t>
      </w:r>
    </w:p>
    <w:p w14:paraId="48F25A7A" w14:textId="77777777" w:rsidR="004F740A" w:rsidRPr="00EC4367" w:rsidRDefault="004F740A" w:rsidP="004F740A">
      <w:pPr>
        <w:pStyle w:val="Odstavecseseznamem"/>
        <w:spacing w:after="0" w:line="240" w:lineRule="auto"/>
        <w:ind w:left="720"/>
        <w:jc w:val="both"/>
      </w:pPr>
    </w:p>
    <w:p w14:paraId="54A1FB76" w14:textId="44D38EE5" w:rsidR="00EC4367" w:rsidRPr="00EC4367" w:rsidRDefault="00EC4367" w:rsidP="004F740A">
      <w:pPr>
        <w:pStyle w:val="Odstavecseseznamem"/>
        <w:numPr>
          <w:ilvl w:val="0"/>
          <w:numId w:val="35"/>
        </w:numPr>
        <w:spacing w:after="0" w:line="240" w:lineRule="auto"/>
        <w:jc w:val="both"/>
      </w:pPr>
      <w:r w:rsidRPr="00EC4367">
        <w:t xml:space="preserve">Ujednává se, že následná škoda způsobená přerušením provozu pojištěného se hradí rovněž v případě, že věcná škoda vznikla na majetku </w:t>
      </w:r>
      <w:r w:rsidRPr="004F740A">
        <w:rPr>
          <w:b/>
          <w:bCs/>
        </w:rPr>
        <w:t>dodavatele médií</w:t>
      </w:r>
      <w:r w:rsidRPr="00EC4367">
        <w:t xml:space="preserve"> některým z pojistných nebezpečí, proti němuž je pojištěno přerušení provozu pojištěného, a v důsledku této škody došlo k přerušení provozu pojištěného. Pojištění dle tohoto ujednání se vztahuje na škody v důsledku výpadku dodávky elektrického proudu, plynu nebo vody. Toto pojištění se sjednává s limitem plnění </w:t>
      </w:r>
      <w:r w:rsidR="00D168F3">
        <w:t>10</w:t>
      </w:r>
      <w:r w:rsidR="008F7EE9">
        <w:t>.000.000 Kč</w:t>
      </w:r>
      <w:r w:rsidRPr="00EC4367">
        <w:t xml:space="preserve">. </w:t>
      </w:r>
    </w:p>
    <w:p w14:paraId="575EA89B" w14:textId="6BEFF7AF" w:rsidR="00EC4367" w:rsidRPr="00EC4367" w:rsidRDefault="00EC4367" w:rsidP="008D15B3">
      <w:pPr>
        <w:pStyle w:val="Odstavecseseznamem"/>
        <w:spacing w:after="0" w:line="240" w:lineRule="auto"/>
        <w:ind w:left="720"/>
        <w:jc w:val="both"/>
      </w:pPr>
      <w:r w:rsidRPr="00EC4367">
        <w:t xml:space="preserve"> </w:t>
      </w:r>
    </w:p>
    <w:p w14:paraId="3EE30208" w14:textId="6577175A" w:rsidR="00EC4367" w:rsidRPr="00326D45" w:rsidRDefault="00EC4367" w:rsidP="004F740A">
      <w:pPr>
        <w:pStyle w:val="Odstavecseseznamem"/>
        <w:numPr>
          <w:ilvl w:val="0"/>
          <w:numId w:val="35"/>
        </w:numPr>
        <w:spacing w:after="0" w:line="240" w:lineRule="auto"/>
        <w:jc w:val="both"/>
      </w:pPr>
      <w:r w:rsidRPr="008D15B3">
        <w:rPr>
          <w:b/>
          <w:bCs/>
        </w:rPr>
        <w:t>Doba ručení</w:t>
      </w:r>
      <w:r w:rsidRPr="00326D45">
        <w:t xml:space="preserve"> trvá po celou dobu, během níž je podnikatelská činnost pojištěného nepříznivě ovlivněna pojistnou událostí, tj. končí v okamžiku, od něhož již nevzniká finanční ztráta přerušením/omezením provozu, nejpozději však uplynutím maximální stanovené doby ručení.</w:t>
      </w:r>
    </w:p>
    <w:p w14:paraId="78B4823B" w14:textId="3FF51994" w:rsidR="00EC4367" w:rsidRPr="00326D45" w:rsidRDefault="00EC4367" w:rsidP="003E5E8C">
      <w:pPr>
        <w:spacing w:after="0" w:line="240" w:lineRule="auto"/>
        <w:jc w:val="both"/>
      </w:pPr>
    </w:p>
    <w:p w14:paraId="086C9D09" w14:textId="77777777" w:rsidR="005D0723" w:rsidRPr="00FC08D2" w:rsidRDefault="005D0723" w:rsidP="005D0723">
      <w:pPr>
        <w:spacing w:after="0" w:line="240" w:lineRule="auto"/>
        <w:rPr>
          <w:b/>
        </w:rPr>
      </w:pPr>
      <w:bookmarkStart w:id="6" w:name="_Hlk193461479"/>
    </w:p>
    <w:bookmarkEnd w:id="6"/>
    <w:p w14:paraId="64F3D915" w14:textId="6F970BA8" w:rsidR="000B7DC7" w:rsidRDefault="000D4A96" w:rsidP="005D0723">
      <w:pPr>
        <w:shd w:val="clear" w:color="auto" w:fill="FFFFFF" w:themeFill="background1"/>
        <w:spacing w:after="0" w:line="240" w:lineRule="auto"/>
        <w:rPr>
          <w:b/>
        </w:rPr>
      </w:pPr>
      <w:r>
        <w:rPr>
          <w:b/>
        </w:rPr>
        <w:t>7</w:t>
      </w:r>
      <w:r w:rsidR="005D0723" w:rsidRPr="00275895">
        <w:rPr>
          <w:b/>
        </w:rPr>
        <w:t>.</w:t>
      </w:r>
      <w:r>
        <w:rPr>
          <w:b/>
        </w:rPr>
        <w:t>7</w:t>
      </w:r>
      <w:r w:rsidR="005D0723" w:rsidRPr="00275895">
        <w:rPr>
          <w:b/>
        </w:rPr>
        <w:t xml:space="preserve">. Smluvní ujednání </w:t>
      </w:r>
      <w:r>
        <w:rPr>
          <w:b/>
        </w:rPr>
        <w:t>k</w:t>
      </w:r>
      <w:r w:rsidR="005D0723" w:rsidRPr="00275895">
        <w:rPr>
          <w:b/>
        </w:rPr>
        <w:t xml:space="preserve"> pojištění </w:t>
      </w:r>
      <w:r w:rsidR="00B02C84">
        <w:rPr>
          <w:b/>
        </w:rPr>
        <w:t>přepravovaného nákladu</w:t>
      </w:r>
      <w:r w:rsidR="005D0723" w:rsidRPr="00275895">
        <w:rPr>
          <w:b/>
        </w:rPr>
        <w:t>:</w:t>
      </w:r>
      <w:r w:rsidR="005D0723" w:rsidRPr="003D0C11">
        <w:rPr>
          <w:b/>
        </w:rPr>
        <w:tab/>
      </w:r>
    </w:p>
    <w:p w14:paraId="00212250" w14:textId="77777777" w:rsidR="000B7DC7" w:rsidRDefault="000B7DC7" w:rsidP="005D0723">
      <w:pPr>
        <w:shd w:val="clear" w:color="auto" w:fill="FFFFFF" w:themeFill="background1"/>
        <w:spacing w:after="0" w:line="240" w:lineRule="auto"/>
        <w:rPr>
          <w:b/>
        </w:rPr>
      </w:pPr>
    </w:p>
    <w:p w14:paraId="7026960A" w14:textId="32472B23" w:rsidR="00E657B2" w:rsidRDefault="00883779" w:rsidP="00E657B2">
      <w:pPr>
        <w:pStyle w:val="Odstavecseseznamem"/>
        <w:numPr>
          <w:ilvl w:val="0"/>
          <w:numId w:val="35"/>
        </w:numPr>
        <w:spacing w:after="0" w:line="240" w:lineRule="auto"/>
        <w:jc w:val="both"/>
      </w:pPr>
      <w:r>
        <w:t>P</w:t>
      </w:r>
      <w:r w:rsidR="00E657B2" w:rsidRPr="00E657B2">
        <w:t>ojištění vztahuje i na škody vzniklé v důsledku nakládky</w:t>
      </w:r>
      <w:r>
        <w:t xml:space="preserve"> a vykládky pojištěné věci</w:t>
      </w:r>
    </w:p>
    <w:p w14:paraId="6FC7CFC7" w14:textId="77777777" w:rsidR="00883779" w:rsidRPr="00E657B2" w:rsidRDefault="00883779" w:rsidP="00883779">
      <w:pPr>
        <w:spacing w:after="0" w:line="240" w:lineRule="auto"/>
        <w:jc w:val="both"/>
      </w:pPr>
    </w:p>
    <w:p w14:paraId="6BF39CEE" w14:textId="3ED3FF9C" w:rsidR="009759DC" w:rsidRDefault="002730F9" w:rsidP="009759DC">
      <w:pPr>
        <w:pStyle w:val="Odstavecseseznamem"/>
        <w:numPr>
          <w:ilvl w:val="0"/>
          <w:numId w:val="35"/>
        </w:numPr>
        <w:spacing w:after="0" w:line="240" w:lineRule="auto"/>
        <w:jc w:val="both"/>
      </w:pPr>
      <w:r>
        <w:t>Pojištění se vztahuje i na odcizení přepravované věci</w:t>
      </w:r>
      <w:r w:rsidR="00F61DD4">
        <w:t xml:space="preserve"> krádeží vloupáním či </w:t>
      </w:r>
      <w:r w:rsidR="005C1552">
        <w:t>loupežným</w:t>
      </w:r>
      <w:r w:rsidR="00F61DD4">
        <w:t xml:space="preserve"> přepadením</w:t>
      </w:r>
    </w:p>
    <w:p w14:paraId="2B7F865F" w14:textId="77777777" w:rsidR="00F61DD4" w:rsidRDefault="00F61DD4" w:rsidP="00F61DD4">
      <w:pPr>
        <w:spacing w:after="0" w:line="240" w:lineRule="auto"/>
        <w:jc w:val="both"/>
      </w:pPr>
    </w:p>
    <w:p w14:paraId="720E737E" w14:textId="5065B36B" w:rsidR="00E657B2" w:rsidRPr="00E657B2" w:rsidRDefault="009759DC" w:rsidP="00E00C43">
      <w:pPr>
        <w:pStyle w:val="Odstavecseseznamem"/>
        <w:numPr>
          <w:ilvl w:val="0"/>
          <w:numId w:val="35"/>
        </w:numPr>
        <w:spacing w:after="0" w:line="240" w:lineRule="auto"/>
        <w:jc w:val="both"/>
      </w:pPr>
      <w:r>
        <w:t xml:space="preserve">Pojištění se vztahuje také </w:t>
      </w:r>
      <w:r w:rsidR="001C7477">
        <w:t xml:space="preserve">na poškození, ztrátu nebo pohřešování věci při dopravní nehodě, </w:t>
      </w:r>
      <w:r w:rsidR="00692B13">
        <w:t>která nebyla šetřena policí ani při ní nebyl sepsán společný záznam</w:t>
      </w:r>
      <w:r w:rsidR="00542310">
        <w:t>, přičemž</w:t>
      </w:r>
      <w:r w:rsidR="00E657B2" w:rsidRPr="00E657B2">
        <w:t xml:space="preserve"> za nehodu pojištěné věci se považuje událost, při níž</w:t>
      </w:r>
      <w:r w:rsidR="005D4EBB">
        <w:t xml:space="preserve"> </w:t>
      </w:r>
      <w:r w:rsidR="00E657B2" w:rsidRPr="00E657B2">
        <w:t>pojištěná věc utrpí věcnou škodu následkem jejího nárazu do jiné věci, a to bez ohledu na skutečnost, zda současně</w:t>
      </w:r>
      <w:r w:rsidR="005D4EBB">
        <w:t xml:space="preserve"> došlo k poškození vozidla či nikoliv.</w:t>
      </w:r>
    </w:p>
    <w:p w14:paraId="49D10603" w14:textId="752FC4F9" w:rsidR="005D0723" w:rsidRDefault="005D0723" w:rsidP="005D0723">
      <w:pPr>
        <w:shd w:val="clear" w:color="auto" w:fill="FFFFFF" w:themeFill="background1"/>
        <w:spacing w:after="0" w:line="240" w:lineRule="auto"/>
        <w:rPr>
          <w:b/>
        </w:rPr>
      </w:pPr>
    </w:p>
    <w:p w14:paraId="3FA626FB" w14:textId="77777777" w:rsidR="00214048" w:rsidRPr="00FC08D2" w:rsidRDefault="00214048" w:rsidP="0077758E">
      <w:pPr>
        <w:pStyle w:val="Seznam"/>
        <w:ind w:left="0" w:firstLine="0"/>
        <w:jc w:val="both"/>
        <w:rPr>
          <w:rFonts w:ascii="Calibri" w:hAnsi="Calibri"/>
          <w:sz w:val="22"/>
          <w:szCs w:val="22"/>
        </w:rPr>
      </w:pPr>
    </w:p>
    <w:p w14:paraId="64324911" w14:textId="45206C32" w:rsidR="009141BB" w:rsidRPr="00275895" w:rsidRDefault="00933E97" w:rsidP="00933E97">
      <w:pPr>
        <w:shd w:val="clear" w:color="auto" w:fill="FFFFFF" w:themeFill="background1"/>
        <w:spacing w:after="0" w:line="240" w:lineRule="auto"/>
        <w:rPr>
          <w:b/>
        </w:rPr>
      </w:pPr>
      <w:r>
        <w:rPr>
          <w:b/>
        </w:rPr>
        <w:t>7.8.</w:t>
      </w:r>
      <w:r w:rsidR="009141BB" w:rsidRPr="00275895">
        <w:rPr>
          <w:b/>
        </w:rPr>
        <w:t xml:space="preserve"> Smluvní ujednání – společné pro všechny druhy majetkového pojištění</w:t>
      </w:r>
    </w:p>
    <w:p w14:paraId="520F1499" w14:textId="77777777" w:rsidR="00767AF1" w:rsidRPr="00767AF1" w:rsidRDefault="00767AF1" w:rsidP="00767AF1">
      <w:pPr>
        <w:spacing w:after="0" w:line="240" w:lineRule="auto"/>
        <w:jc w:val="both"/>
      </w:pPr>
    </w:p>
    <w:p w14:paraId="50BC76E5" w14:textId="329C0763" w:rsidR="00767AF1" w:rsidRPr="00767AF1" w:rsidRDefault="00A419E9" w:rsidP="00767AF1">
      <w:pPr>
        <w:numPr>
          <w:ilvl w:val="0"/>
          <w:numId w:val="1"/>
        </w:numPr>
        <w:spacing w:after="0" w:line="240" w:lineRule="auto"/>
        <w:jc w:val="both"/>
      </w:pPr>
      <w:r>
        <w:t>Ke</w:t>
      </w:r>
      <w:r w:rsidR="00767AF1" w:rsidRPr="00767AF1">
        <w:t xml:space="preserve"> dni sjednání pojištění odpovídají pojistné částky pojištěných věcí pojistné hodnotě. Veškerý nový majetek, který pojištěný nabude v průběhu pojistného období, je automaticky zahrnut do pojištění. Zvýší-li se tím pojistná hodnota o méně než </w:t>
      </w:r>
      <w:proofErr w:type="gramStart"/>
      <w:r w:rsidR="00767AF1" w:rsidRPr="00767AF1">
        <w:t>15%</w:t>
      </w:r>
      <w:proofErr w:type="gramEnd"/>
      <w:r w:rsidR="00767AF1" w:rsidRPr="00767AF1">
        <w:t xml:space="preserve">, nebude pojistitel požadovat doplatek pojistného. Pojištěný je povinen oznámit navýšení pojistných částek, pokud dojde ke zvýšení hodnoty pojištěných věcí o více než </w:t>
      </w:r>
      <w:proofErr w:type="gramStart"/>
      <w:r w:rsidR="00767AF1" w:rsidRPr="00767AF1">
        <w:t>15%</w:t>
      </w:r>
      <w:proofErr w:type="gramEnd"/>
      <w:r w:rsidR="00767AF1" w:rsidRPr="00767AF1">
        <w:t xml:space="preserve"> oproti pojistným částkám sjednaným v pojistné smlouvě v aktuálním znění.</w:t>
      </w:r>
    </w:p>
    <w:p w14:paraId="0D921F1B" w14:textId="77777777" w:rsidR="00767AF1" w:rsidRPr="00767AF1" w:rsidRDefault="00767AF1" w:rsidP="009141BB">
      <w:pPr>
        <w:spacing w:after="0" w:line="240" w:lineRule="auto"/>
        <w:jc w:val="both"/>
      </w:pPr>
    </w:p>
    <w:p w14:paraId="7E9682AD" w14:textId="46DC0F16" w:rsidR="009141BB" w:rsidRDefault="009141BB" w:rsidP="009141BB">
      <w:pPr>
        <w:numPr>
          <w:ilvl w:val="0"/>
          <w:numId w:val="1"/>
        </w:numPr>
        <w:spacing w:after="0" w:line="240" w:lineRule="auto"/>
        <w:jc w:val="both"/>
      </w:pPr>
      <w:r w:rsidRPr="00610B79">
        <w:t xml:space="preserve">Pojistitel akceptuje podpojištění u </w:t>
      </w:r>
      <w:r w:rsidR="006E7C32">
        <w:t xml:space="preserve">jednotlivých věcí a </w:t>
      </w:r>
      <w:r w:rsidRPr="00610B79">
        <w:t>sou</w:t>
      </w:r>
      <w:r w:rsidR="00103295" w:rsidRPr="00610B79">
        <w:t xml:space="preserve">borů pojištěných věcí ve výši </w:t>
      </w:r>
      <w:proofErr w:type="gramStart"/>
      <w:r w:rsidR="005F7910" w:rsidRPr="00610B79">
        <w:t>15</w:t>
      </w:r>
      <w:r w:rsidRPr="00610B79">
        <w:t>%</w:t>
      </w:r>
      <w:proofErr w:type="gramEnd"/>
      <w:r w:rsidRPr="00610B79">
        <w:t xml:space="preserve">. </w:t>
      </w:r>
    </w:p>
    <w:p w14:paraId="0C3BADD8" w14:textId="77777777" w:rsidR="00BA639C" w:rsidRPr="00610B79" w:rsidRDefault="00BA639C" w:rsidP="00BA639C">
      <w:pPr>
        <w:spacing w:after="0" w:line="240" w:lineRule="auto"/>
        <w:jc w:val="both"/>
      </w:pPr>
    </w:p>
    <w:p w14:paraId="15F1DCE7" w14:textId="669C857D" w:rsidR="005445F6" w:rsidRDefault="009141BB" w:rsidP="005329C1">
      <w:pPr>
        <w:numPr>
          <w:ilvl w:val="0"/>
          <w:numId w:val="1"/>
        </w:numPr>
        <w:spacing w:after="0" w:line="240" w:lineRule="auto"/>
        <w:jc w:val="both"/>
      </w:pPr>
      <w:r w:rsidRPr="00610B79">
        <w:lastRenderedPageBreak/>
        <w:t>Dojde-li během pojistného období ke zvýšení hodnot</w:t>
      </w:r>
      <w:r w:rsidR="00B07013" w:rsidRPr="00610B79">
        <w:t xml:space="preserve">y pojištěných věcí o více než </w:t>
      </w:r>
      <w:proofErr w:type="gramStart"/>
      <w:r w:rsidR="005F7910" w:rsidRPr="00610B79">
        <w:t>15</w:t>
      </w:r>
      <w:r w:rsidRPr="00610B79">
        <w:t>%</w:t>
      </w:r>
      <w:proofErr w:type="gramEnd"/>
      <w:r w:rsidRPr="00610B79">
        <w:t xml:space="preserve"> vlivem inflace, nabídne pojistitel pojištěnému</w:t>
      </w:r>
      <w:r w:rsidRPr="00FC08D2">
        <w:t xml:space="preserve"> indexaci pojistných čá</w:t>
      </w:r>
      <w:r w:rsidR="00B07013" w:rsidRPr="00FC08D2">
        <w:t>stek</w:t>
      </w:r>
      <w:r w:rsidR="00FB65D8">
        <w:t>.</w:t>
      </w:r>
    </w:p>
    <w:p w14:paraId="6E903429" w14:textId="77777777" w:rsidR="00E43B70" w:rsidRDefault="00E43B70" w:rsidP="00E43B70">
      <w:pPr>
        <w:spacing w:after="0" w:line="240" w:lineRule="auto"/>
        <w:jc w:val="both"/>
      </w:pPr>
    </w:p>
    <w:p w14:paraId="13EAF9A4" w14:textId="58DFA962" w:rsidR="007D338A" w:rsidRDefault="00126113" w:rsidP="007D338A">
      <w:pPr>
        <w:numPr>
          <w:ilvl w:val="0"/>
          <w:numId w:val="1"/>
        </w:numPr>
        <w:spacing w:after="0" w:line="240" w:lineRule="auto"/>
        <w:jc w:val="both"/>
      </w:pPr>
      <w:r>
        <w:t xml:space="preserve">V </w:t>
      </w:r>
      <w:r w:rsidRPr="00126113">
        <w:t xml:space="preserve">pojistné smlouvě </w:t>
      </w:r>
      <w:r>
        <w:t xml:space="preserve">se </w:t>
      </w:r>
      <w:r w:rsidRPr="00126113">
        <w:t xml:space="preserve">nesjednává žádná čekací, ani jinak nazvaná doba, která by posouvala platnost pojištění pro jakákoliv </w:t>
      </w:r>
      <w:r w:rsidR="009223D5">
        <w:t xml:space="preserve">nebezpečí či </w:t>
      </w:r>
      <w:r w:rsidRPr="00126113">
        <w:t>rizika.</w:t>
      </w:r>
    </w:p>
    <w:p w14:paraId="35351161" w14:textId="77777777" w:rsidR="00D732FB" w:rsidRDefault="00D732FB" w:rsidP="007D338A">
      <w:pPr>
        <w:spacing w:after="0" w:line="240" w:lineRule="auto"/>
        <w:jc w:val="both"/>
      </w:pPr>
    </w:p>
    <w:p w14:paraId="1CEB0F76" w14:textId="6A268E79" w:rsidR="00BA639C" w:rsidRPr="00BF08AF" w:rsidRDefault="007D338A" w:rsidP="00F146A6">
      <w:pPr>
        <w:pStyle w:val="Odstavecseseznamem"/>
        <w:numPr>
          <w:ilvl w:val="0"/>
          <w:numId w:val="1"/>
        </w:numPr>
      </w:pPr>
      <w:r w:rsidRPr="00BF08AF">
        <w:t>Nově nabytý majetek (nemovitý i movitý) bude pojištěn za stejných podmínek a sazeb, jako majetek pojištěný při sjednání pojistné smlouvy.</w:t>
      </w:r>
    </w:p>
    <w:p w14:paraId="653F577A" w14:textId="4594DF7D" w:rsidR="00BA639C" w:rsidRDefault="00BA639C" w:rsidP="00DE5835">
      <w:pPr>
        <w:numPr>
          <w:ilvl w:val="0"/>
          <w:numId w:val="1"/>
        </w:numPr>
        <w:spacing w:after="0" w:line="240" w:lineRule="auto"/>
        <w:jc w:val="both"/>
      </w:pPr>
      <w:r w:rsidRPr="00BA639C">
        <w:t xml:space="preserve">V případě pojistné události na více předmětech pojištění se od celkového pojistného plnění odečítá pouze jedna </w:t>
      </w:r>
      <w:proofErr w:type="gramStart"/>
      <w:r w:rsidRPr="00BA639C">
        <w:t>spoluúčast</w:t>
      </w:r>
      <w:proofErr w:type="gramEnd"/>
      <w:r w:rsidRPr="00BA639C">
        <w:t xml:space="preserve"> a to ta nejvyšší ze všech sjednaných spoluúčastí. Toto platí s výjimkou případu, kdy </w:t>
      </w:r>
      <w:r w:rsidR="009F6AD7">
        <w:t xml:space="preserve">by </w:t>
      </w:r>
      <w:r w:rsidRPr="00BA639C">
        <w:t>pro klienta bylo výhodnější odečtení spoluúčastí z jednotlivých předmětů pojištění</w:t>
      </w:r>
      <w:r w:rsidR="00E75658">
        <w:t xml:space="preserve"> nebo </w:t>
      </w:r>
      <w:r w:rsidR="000D0FD6">
        <w:t>jednotlivých nebezpečí</w:t>
      </w:r>
      <w:r w:rsidRPr="00BA639C">
        <w:t>, jichž se pojistná událost týká</w:t>
      </w:r>
    </w:p>
    <w:p w14:paraId="0A67248B" w14:textId="77777777" w:rsidR="003F24EE" w:rsidRDefault="003F24EE" w:rsidP="003F24EE">
      <w:pPr>
        <w:spacing w:after="0" w:line="240" w:lineRule="auto"/>
        <w:ind w:left="720"/>
        <w:jc w:val="both"/>
      </w:pPr>
    </w:p>
    <w:p w14:paraId="31F1A75D" w14:textId="77777777" w:rsidR="003F24EE" w:rsidRDefault="003F24EE" w:rsidP="003F24EE">
      <w:pPr>
        <w:numPr>
          <w:ilvl w:val="0"/>
          <w:numId w:val="1"/>
        </w:numPr>
        <w:spacing w:after="0" w:line="240" w:lineRule="auto"/>
        <w:jc w:val="both"/>
      </w:pPr>
      <w:r>
        <w:t>Pojištění všech rizik se vztahuje také na automaty, včetně jejich obsahu.</w:t>
      </w:r>
    </w:p>
    <w:p w14:paraId="005494D5" w14:textId="77777777" w:rsidR="00BA639C" w:rsidRDefault="00BA639C" w:rsidP="00BA639C">
      <w:pPr>
        <w:spacing w:after="0" w:line="240" w:lineRule="auto"/>
        <w:jc w:val="both"/>
      </w:pPr>
    </w:p>
    <w:p w14:paraId="5E903B07" w14:textId="1141C50A" w:rsidR="00BA639C" w:rsidRDefault="0074257C" w:rsidP="00E4674B">
      <w:pPr>
        <w:numPr>
          <w:ilvl w:val="0"/>
          <w:numId w:val="1"/>
        </w:numPr>
        <w:spacing w:after="0" w:line="240" w:lineRule="auto"/>
        <w:jc w:val="both"/>
      </w:pPr>
      <w:r w:rsidRPr="00DE5835">
        <w:t xml:space="preserve">Pod pojmem </w:t>
      </w:r>
      <w:r w:rsidR="009C3C00">
        <w:t xml:space="preserve">věci </w:t>
      </w:r>
      <w:r w:rsidRPr="00DE5835">
        <w:t>cizí v rámci pojištění majetku se má na mysli: Věci, které pojištěný</w:t>
      </w:r>
      <w:r w:rsidR="00BA639C">
        <w:t xml:space="preserve"> převzal za účelem provedení činnosti (vč. úschovy) nebo </w:t>
      </w:r>
      <w:proofErr w:type="gramStart"/>
      <w:r w:rsidR="00BA639C">
        <w:t xml:space="preserve">je </w:t>
      </w:r>
      <w:r w:rsidRPr="00DE5835">
        <w:t xml:space="preserve"> užívá</w:t>
      </w:r>
      <w:proofErr w:type="gramEnd"/>
      <w:r w:rsidRPr="00DE5835">
        <w:t xml:space="preserve"> na základě </w:t>
      </w:r>
      <w:r w:rsidR="00BA639C">
        <w:t>právního důvodu</w:t>
      </w:r>
      <w:r w:rsidRPr="00DE5835">
        <w:t xml:space="preserve"> nebo prokáže pojistný zájem.</w:t>
      </w:r>
    </w:p>
    <w:p w14:paraId="505D5D31" w14:textId="77777777" w:rsidR="00374963" w:rsidRDefault="00374963" w:rsidP="00374963">
      <w:pPr>
        <w:spacing w:after="0" w:line="240" w:lineRule="auto"/>
        <w:jc w:val="both"/>
      </w:pPr>
    </w:p>
    <w:p w14:paraId="10DF30F8" w14:textId="6CDEB2FA" w:rsidR="00374963" w:rsidRPr="00374963" w:rsidRDefault="00374963" w:rsidP="00374963">
      <w:pPr>
        <w:numPr>
          <w:ilvl w:val="0"/>
          <w:numId w:val="1"/>
        </w:numPr>
        <w:spacing w:after="0" w:line="240" w:lineRule="auto"/>
        <w:jc w:val="both"/>
      </w:pPr>
      <w:r w:rsidRPr="00374963">
        <w:t xml:space="preserve">V případě pojistné události na cizích </w:t>
      </w:r>
      <w:proofErr w:type="gramStart"/>
      <w:r w:rsidRPr="00374963">
        <w:t>věcech  pojištěným</w:t>
      </w:r>
      <w:proofErr w:type="gramEnd"/>
      <w:r w:rsidRPr="00374963">
        <w:t xml:space="preserve"> vyplatí pojistitel pojistné plnění v nové ceně.</w:t>
      </w:r>
    </w:p>
    <w:p w14:paraId="5D665702" w14:textId="77777777" w:rsidR="00374963" w:rsidRPr="00374963" w:rsidRDefault="00374963" w:rsidP="00374963">
      <w:pPr>
        <w:spacing w:after="0" w:line="240" w:lineRule="auto"/>
        <w:jc w:val="both"/>
      </w:pPr>
    </w:p>
    <w:p w14:paraId="3A24DB6B" w14:textId="77777777" w:rsidR="00374963" w:rsidRPr="00374963" w:rsidRDefault="00374963" w:rsidP="00374963">
      <w:pPr>
        <w:numPr>
          <w:ilvl w:val="0"/>
          <w:numId w:val="1"/>
        </w:numPr>
        <w:spacing w:after="0" w:line="240" w:lineRule="auto"/>
        <w:jc w:val="both"/>
      </w:pPr>
      <w:r w:rsidRPr="00374963">
        <w:t xml:space="preserve">Při převodu cizích věcí, které pojištěný po právu užívá, do jeho majetku, jsou tyto ihned pojištěny v rozsahu pojistné smlouvy. </w:t>
      </w:r>
    </w:p>
    <w:p w14:paraId="65F6AE51" w14:textId="77777777" w:rsidR="00374963" w:rsidRDefault="00374963" w:rsidP="00BA639C">
      <w:pPr>
        <w:spacing w:after="0" w:line="240" w:lineRule="auto"/>
        <w:jc w:val="both"/>
      </w:pPr>
    </w:p>
    <w:p w14:paraId="0AE720C3" w14:textId="41802CA8" w:rsidR="00F943FF" w:rsidRDefault="0074257C" w:rsidP="00E4674B">
      <w:pPr>
        <w:numPr>
          <w:ilvl w:val="0"/>
          <w:numId w:val="1"/>
        </w:numPr>
        <w:spacing w:after="0" w:line="240" w:lineRule="auto"/>
        <w:jc w:val="both"/>
      </w:pPr>
      <w:r w:rsidRPr="00DE5835">
        <w:t>Pojistitel může navýšit jednotlivé limity/</w:t>
      </w:r>
      <w:proofErr w:type="spellStart"/>
      <w:r w:rsidRPr="00DE5835">
        <w:t>sublimity</w:t>
      </w:r>
      <w:proofErr w:type="spellEnd"/>
      <w:r w:rsidRPr="00DE5835">
        <w:t xml:space="preserve"> pojistného plnění ve prospěch pojištěného bez vlivu na cenu pojištění. Výše uvedené limity/</w:t>
      </w:r>
      <w:proofErr w:type="spellStart"/>
      <w:r w:rsidRPr="00DE5835">
        <w:t>sublimity</w:t>
      </w:r>
      <w:proofErr w:type="spellEnd"/>
      <w:r w:rsidRPr="00DE5835">
        <w:t xml:space="preserve"> pojistného plnění jsou uvedeny v minimální požadované výši.</w:t>
      </w:r>
    </w:p>
    <w:p w14:paraId="6D3E0FFB" w14:textId="77777777" w:rsidR="00BA639C" w:rsidRPr="00DE5835" w:rsidRDefault="00BA639C" w:rsidP="00BA639C">
      <w:pPr>
        <w:spacing w:after="0" w:line="240" w:lineRule="auto"/>
        <w:jc w:val="both"/>
      </w:pPr>
    </w:p>
    <w:p w14:paraId="5FE094B5" w14:textId="4526D3E8" w:rsidR="009B4F4B" w:rsidRDefault="009B4F4B" w:rsidP="009B4F4B">
      <w:pPr>
        <w:numPr>
          <w:ilvl w:val="0"/>
          <w:numId w:val="1"/>
        </w:numPr>
        <w:spacing w:after="0" w:line="240" w:lineRule="auto"/>
        <w:jc w:val="both"/>
      </w:pPr>
      <w:r w:rsidRPr="00DE5835">
        <w:t>V případě</w:t>
      </w:r>
      <w:r w:rsidR="004A5EE4" w:rsidRPr="00DE5835">
        <w:t xml:space="preserve"> rozporu individuálních ujednání uvedených v pojistné smlouvě a podmínkách pojištění, platí jako první individuální ujednání pojistné smlouvy.</w:t>
      </w:r>
    </w:p>
    <w:p w14:paraId="36C1AB07" w14:textId="1F5E3A80" w:rsidR="00BA639C" w:rsidRPr="00FC08D2" w:rsidRDefault="00BA639C" w:rsidP="00991D25">
      <w:pPr>
        <w:spacing w:after="0" w:line="240" w:lineRule="auto"/>
        <w:ind w:left="720"/>
        <w:jc w:val="both"/>
      </w:pPr>
    </w:p>
    <w:sectPr w:rsidR="00BA639C" w:rsidRPr="00FC08D2" w:rsidSect="00C61CC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76AA" w14:textId="77777777" w:rsidR="00571F81" w:rsidRDefault="00571F81" w:rsidP="00FE0F14">
      <w:pPr>
        <w:spacing w:after="0" w:line="240" w:lineRule="auto"/>
      </w:pPr>
      <w:r>
        <w:separator/>
      </w:r>
    </w:p>
  </w:endnote>
  <w:endnote w:type="continuationSeparator" w:id="0">
    <w:p w14:paraId="6F48BF0F" w14:textId="77777777" w:rsidR="00571F81" w:rsidRDefault="00571F81" w:rsidP="00FE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DB16" w14:textId="77777777" w:rsidR="008D15B3" w:rsidRDefault="008D15B3" w:rsidP="00A5664E">
    <w:pPr>
      <w:pStyle w:val="Zpat"/>
      <w:jc w:val="center"/>
    </w:pPr>
    <w:r>
      <w:fldChar w:fldCharType="begin"/>
    </w:r>
    <w:r>
      <w:instrText>PAGE   \* MERGEFORMAT</w:instrText>
    </w:r>
    <w:r>
      <w:fldChar w:fldCharType="separate"/>
    </w:r>
    <w:r w:rsidRPr="00492907">
      <w:rPr>
        <w:noProof/>
        <w:lang w:val="cs-CZ"/>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294A" w14:textId="77777777" w:rsidR="00571F81" w:rsidRDefault="00571F81" w:rsidP="00FE0F14">
      <w:pPr>
        <w:spacing w:after="0" w:line="240" w:lineRule="auto"/>
      </w:pPr>
      <w:r>
        <w:separator/>
      </w:r>
    </w:p>
  </w:footnote>
  <w:footnote w:type="continuationSeparator" w:id="0">
    <w:p w14:paraId="5353BC2C" w14:textId="77777777" w:rsidR="00571F81" w:rsidRDefault="00571F81" w:rsidP="00FE0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9339" w14:textId="128B8020" w:rsidR="00C52156" w:rsidRDefault="00C52156">
    <w:pPr>
      <w:pStyle w:val="Zhlav"/>
    </w:pPr>
    <w:r>
      <w:rPr>
        <w:noProof/>
      </w:rPr>
      <w:drawing>
        <wp:anchor distT="0" distB="0" distL="114300" distR="114300" simplePos="0" relativeHeight="251658240" behindDoc="1" locked="0" layoutInCell="1" allowOverlap="1" wp14:anchorId="0FC75C7D" wp14:editId="7D37E524">
          <wp:simplePos x="0" y="0"/>
          <wp:positionH relativeFrom="margin">
            <wp:align>left</wp:align>
          </wp:positionH>
          <wp:positionV relativeFrom="paragraph">
            <wp:posOffset>-340360</wp:posOffset>
          </wp:positionV>
          <wp:extent cx="2148840" cy="803275"/>
          <wp:effectExtent l="0" t="0" r="3810" b="0"/>
          <wp:wrapTight wrapText="bothSides">
            <wp:wrapPolygon edited="0">
              <wp:start x="0" y="0"/>
              <wp:lineTo x="0" y="21002"/>
              <wp:lineTo x="21447" y="21002"/>
              <wp:lineTo x="2144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83" cy="80559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DA4"/>
    <w:multiLevelType w:val="hybridMultilevel"/>
    <w:tmpl w:val="BBC4E3A6"/>
    <w:lvl w:ilvl="0" w:tplc="0A0E1CD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B88170D"/>
    <w:multiLevelType w:val="hybridMultilevel"/>
    <w:tmpl w:val="31AAB802"/>
    <w:lvl w:ilvl="0" w:tplc="18A4AC82">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4B1472"/>
    <w:multiLevelType w:val="hybridMultilevel"/>
    <w:tmpl w:val="1FEE77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533404"/>
    <w:multiLevelType w:val="hybridMultilevel"/>
    <w:tmpl w:val="965E1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C56EF0"/>
    <w:multiLevelType w:val="hybridMultilevel"/>
    <w:tmpl w:val="5AB65E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592007"/>
    <w:multiLevelType w:val="hybridMultilevel"/>
    <w:tmpl w:val="EBAEF0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571A2A"/>
    <w:multiLevelType w:val="hybridMultilevel"/>
    <w:tmpl w:val="6CAA0E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4D23EB"/>
    <w:multiLevelType w:val="hybridMultilevel"/>
    <w:tmpl w:val="D85A886C"/>
    <w:lvl w:ilvl="0" w:tplc="764017E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F92369"/>
    <w:multiLevelType w:val="hybridMultilevel"/>
    <w:tmpl w:val="69A69E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7A05CC"/>
    <w:multiLevelType w:val="hybridMultilevel"/>
    <w:tmpl w:val="3B164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683E5A"/>
    <w:multiLevelType w:val="hybridMultilevel"/>
    <w:tmpl w:val="B20E483C"/>
    <w:lvl w:ilvl="0" w:tplc="EBD863A8">
      <w:start w:val="5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C2354F"/>
    <w:multiLevelType w:val="hybridMultilevel"/>
    <w:tmpl w:val="ACDE64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630E6E"/>
    <w:multiLevelType w:val="hybridMultilevel"/>
    <w:tmpl w:val="F9ACDCD8"/>
    <w:lvl w:ilvl="0" w:tplc="B91A8DA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51C34D2"/>
    <w:multiLevelType w:val="hybridMultilevel"/>
    <w:tmpl w:val="39502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574AE8"/>
    <w:multiLevelType w:val="hybridMultilevel"/>
    <w:tmpl w:val="FA4E0E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6E7C55"/>
    <w:multiLevelType w:val="hybridMultilevel"/>
    <w:tmpl w:val="4BF2E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336AFA"/>
    <w:multiLevelType w:val="hybridMultilevel"/>
    <w:tmpl w:val="37309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50044A"/>
    <w:multiLevelType w:val="hybridMultilevel"/>
    <w:tmpl w:val="6CAA0E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DB11C7"/>
    <w:multiLevelType w:val="hybridMultilevel"/>
    <w:tmpl w:val="0BC007D4"/>
    <w:lvl w:ilvl="0" w:tplc="982C759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CE1597"/>
    <w:multiLevelType w:val="hybridMultilevel"/>
    <w:tmpl w:val="E648D4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AF602C"/>
    <w:multiLevelType w:val="hybridMultilevel"/>
    <w:tmpl w:val="6CAA0E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A60BE"/>
    <w:multiLevelType w:val="hybridMultilevel"/>
    <w:tmpl w:val="1A86F676"/>
    <w:lvl w:ilvl="0" w:tplc="02A02AD8">
      <w:start w:val="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BE199A"/>
    <w:multiLevelType w:val="hybridMultilevel"/>
    <w:tmpl w:val="4ABEE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120BC1"/>
    <w:multiLevelType w:val="hybridMultilevel"/>
    <w:tmpl w:val="5C8CC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06745C"/>
    <w:multiLevelType w:val="hybridMultilevel"/>
    <w:tmpl w:val="70C6C6E8"/>
    <w:lvl w:ilvl="0" w:tplc="18A4AC8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580C63"/>
    <w:multiLevelType w:val="hybridMultilevel"/>
    <w:tmpl w:val="24CE75EA"/>
    <w:lvl w:ilvl="0" w:tplc="9A4A95D2">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657888"/>
    <w:multiLevelType w:val="hybridMultilevel"/>
    <w:tmpl w:val="5984711E"/>
    <w:lvl w:ilvl="0" w:tplc="645EE74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2563D29"/>
    <w:multiLevelType w:val="hybridMultilevel"/>
    <w:tmpl w:val="F75C0766"/>
    <w:lvl w:ilvl="0" w:tplc="5302D468">
      <w:start w:val="1"/>
      <w:numFmt w:val="decimal"/>
      <w:lvlText w:val="%1)"/>
      <w:lvlJc w:val="left"/>
      <w:pPr>
        <w:ind w:left="501" w:hanging="360"/>
      </w:pPr>
      <w:rPr>
        <w:rFonts w:ascii="Arial" w:hAnsi="Arial" w:cs="Arial" w:hint="default"/>
        <w:color w:val="auto"/>
      </w:rPr>
    </w:lvl>
    <w:lvl w:ilvl="1" w:tplc="04050019" w:tentative="1">
      <w:start w:val="1"/>
      <w:numFmt w:val="lowerLetter"/>
      <w:lvlText w:val="%2."/>
      <w:lvlJc w:val="left"/>
      <w:pPr>
        <w:ind w:left="9379" w:hanging="360"/>
      </w:pPr>
    </w:lvl>
    <w:lvl w:ilvl="2" w:tplc="0405001B" w:tentative="1">
      <w:start w:val="1"/>
      <w:numFmt w:val="lowerRoman"/>
      <w:lvlText w:val="%3."/>
      <w:lvlJc w:val="right"/>
      <w:pPr>
        <w:ind w:left="10099" w:hanging="180"/>
      </w:pPr>
    </w:lvl>
    <w:lvl w:ilvl="3" w:tplc="0405000F" w:tentative="1">
      <w:start w:val="1"/>
      <w:numFmt w:val="decimal"/>
      <w:lvlText w:val="%4."/>
      <w:lvlJc w:val="left"/>
      <w:pPr>
        <w:ind w:left="10819" w:hanging="360"/>
      </w:pPr>
    </w:lvl>
    <w:lvl w:ilvl="4" w:tplc="04050019" w:tentative="1">
      <w:start w:val="1"/>
      <w:numFmt w:val="lowerLetter"/>
      <w:lvlText w:val="%5."/>
      <w:lvlJc w:val="left"/>
      <w:pPr>
        <w:ind w:left="11539" w:hanging="360"/>
      </w:pPr>
    </w:lvl>
    <w:lvl w:ilvl="5" w:tplc="0405001B" w:tentative="1">
      <w:start w:val="1"/>
      <w:numFmt w:val="lowerRoman"/>
      <w:lvlText w:val="%6."/>
      <w:lvlJc w:val="right"/>
      <w:pPr>
        <w:ind w:left="12259" w:hanging="180"/>
      </w:pPr>
    </w:lvl>
    <w:lvl w:ilvl="6" w:tplc="0405000F" w:tentative="1">
      <w:start w:val="1"/>
      <w:numFmt w:val="decimal"/>
      <w:lvlText w:val="%7."/>
      <w:lvlJc w:val="left"/>
      <w:pPr>
        <w:ind w:left="12979" w:hanging="360"/>
      </w:pPr>
    </w:lvl>
    <w:lvl w:ilvl="7" w:tplc="04050019" w:tentative="1">
      <w:start w:val="1"/>
      <w:numFmt w:val="lowerLetter"/>
      <w:lvlText w:val="%8."/>
      <w:lvlJc w:val="left"/>
      <w:pPr>
        <w:ind w:left="13699" w:hanging="360"/>
      </w:pPr>
    </w:lvl>
    <w:lvl w:ilvl="8" w:tplc="0405001B" w:tentative="1">
      <w:start w:val="1"/>
      <w:numFmt w:val="lowerRoman"/>
      <w:lvlText w:val="%9."/>
      <w:lvlJc w:val="right"/>
      <w:pPr>
        <w:ind w:left="14419" w:hanging="180"/>
      </w:pPr>
    </w:lvl>
  </w:abstractNum>
  <w:abstractNum w:abstractNumId="28" w15:restartNumberingAfterBreak="0">
    <w:nsid w:val="6926356A"/>
    <w:multiLevelType w:val="hybridMultilevel"/>
    <w:tmpl w:val="B100C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9C4F37"/>
    <w:multiLevelType w:val="hybridMultilevel"/>
    <w:tmpl w:val="88024E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BC3EED"/>
    <w:multiLevelType w:val="hybridMultilevel"/>
    <w:tmpl w:val="96D60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D27EBA"/>
    <w:multiLevelType w:val="singleLevel"/>
    <w:tmpl w:val="F506826C"/>
    <w:lvl w:ilvl="0">
      <w:start w:val="1"/>
      <w:numFmt w:val="decimal"/>
      <w:lvlText w:val="%1."/>
      <w:lvlJc w:val="left"/>
      <w:pPr>
        <w:tabs>
          <w:tab w:val="num" w:pos="567"/>
        </w:tabs>
        <w:ind w:left="567" w:hanging="567"/>
      </w:pPr>
      <w:rPr>
        <w:b w:val="0"/>
      </w:rPr>
    </w:lvl>
  </w:abstractNum>
  <w:abstractNum w:abstractNumId="32" w15:restartNumberingAfterBreak="0">
    <w:nsid w:val="6E0D3F24"/>
    <w:multiLevelType w:val="hybridMultilevel"/>
    <w:tmpl w:val="1E9CC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6C77EA6"/>
    <w:multiLevelType w:val="hybridMultilevel"/>
    <w:tmpl w:val="08C8403C"/>
    <w:lvl w:ilvl="0" w:tplc="04050001">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F67B27"/>
    <w:multiLevelType w:val="hybridMultilevel"/>
    <w:tmpl w:val="BAFAA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8496B87"/>
    <w:multiLevelType w:val="hybridMultilevel"/>
    <w:tmpl w:val="31B0B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2599A"/>
    <w:multiLevelType w:val="hybridMultilevel"/>
    <w:tmpl w:val="882A254E"/>
    <w:lvl w:ilvl="0" w:tplc="A8D45BE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8163039">
    <w:abstractNumId w:val="18"/>
  </w:num>
  <w:num w:numId="2" w16cid:durableId="1462306673">
    <w:abstractNumId w:val="16"/>
  </w:num>
  <w:num w:numId="3" w16cid:durableId="522207788">
    <w:abstractNumId w:val="8"/>
  </w:num>
  <w:num w:numId="4" w16cid:durableId="660617155">
    <w:abstractNumId w:val="22"/>
  </w:num>
  <w:num w:numId="5" w16cid:durableId="2002806346">
    <w:abstractNumId w:val="30"/>
  </w:num>
  <w:num w:numId="6" w16cid:durableId="360671959">
    <w:abstractNumId w:val="19"/>
  </w:num>
  <w:num w:numId="7" w16cid:durableId="1352873508">
    <w:abstractNumId w:val="24"/>
  </w:num>
  <w:num w:numId="8" w16cid:durableId="434444385">
    <w:abstractNumId w:val="3"/>
  </w:num>
  <w:num w:numId="9" w16cid:durableId="1530028498">
    <w:abstractNumId w:val="34"/>
  </w:num>
  <w:num w:numId="10" w16cid:durableId="343244012">
    <w:abstractNumId w:val="33"/>
  </w:num>
  <w:num w:numId="11" w16cid:durableId="1022049769">
    <w:abstractNumId w:val="20"/>
  </w:num>
  <w:num w:numId="12" w16cid:durableId="1365129273">
    <w:abstractNumId w:val="6"/>
  </w:num>
  <w:num w:numId="13" w16cid:durableId="1827167255">
    <w:abstractNumId w:val="17"/>
  </w:num>
  <w:num w:numId="14" w16cid:durableId="1440759732">
    <w:abstractNumId w:val="29"/>
  </w:num>
  <w:num w:numId="15" w16cid:durableId="35274837">
    <w:abstractNumId w:val="35"/>
  </w:num>
  <w:num w:numId="16" w16cid:durableId="286592076">
    <w:abstractNumId w:val="5"/>
  </w:num>
  <w:num w:numId="17" w16cid:durableId="57288129">
    <w:abstractNumId w:val="32"/>
  </w:num>
  <w:num w:numId="18" w16cid:durableId="788435">
    <w:abstractNumId w:val="4"/>
  </w:num>
  <w:num w:numId="19" w16cid:durableId="1062102254">
    <w:abstractNumId w:val="2"/>
  </w:num>
  <w:num w:numId="20" w16cid:durableId="1556770428">
    <w:abstractNumId w:val="15"/>
  </w:num>
  <w:num w:numId="21" w16cid:durableId="473067843">
    <w:abstractNumId w:val="25"/>
  </w:num>
  <w:num w:numId="22" w16cid:durableId="1743404412">
    <w:abstractNumId w:val="21"/>
  </w:num>
  <w:num w:numId="23" w16cid:durableId="984235478">
    <w:abstractNumId w:val="11"/>
  </w:num>
  <w:num w:numId="24" w16cid:durableId="1582760672">
    <w:abstractNumId w:val="28"/>
  </w:num>
  <w:num w:numId="25" w16cid:durableId="259141284">
    <w:abstractNumId w:val="36"/>
  </w:num>
  <w:num w:numId="26" w16cid:durableId="1300191540">
    <w:abstractNumId w:val="13"/>
  </w:num>
  <w:num w:numId="27" w16cid:durableId="1549106240">
    <w:abstractNumId w:val="7"/>
  </w:num>
  <w:num w:numId="28" w16cid:durableId="930546395">
    <w:abstractNumId w:val="10"/>
  </w:num>
  <w:num w:numId="29" w16cid:durableId="701707082">
    <w:abstractNumId w:val="12"/>
  </w:num>
  <w:num w:numId="30" w16cid:durableId="875889320">
    <w:abstractNumId w:val="4"/>
  </w:num>
  <w:num w:numId="31" w16cid:durableId="348945522">
    <w:abstractNumId w:val="31"/>
    <w:lvlOverride w:ilvl="0">
      <w:startOverride w:val="1"/>
    </w:lvlOverride>
  </w:num>
  <w:num w:numId="32" w16cid:durableId="1240140260">
    <w:abstractNumId w:val="0"/>
  </w:num>
  <w:num w:numId="33" w16cid:durableId="492718986">
    <w:abstractNumId w:val="26"/>
  </w:num>
  <w:num w:numId="34" w16cid:durableId="1642031970">
    <w:abstractNumId w:val="14"/>
  </w:num>
  <w:num w:numId="35" w16cid:durableId="342630728">
    <w:abstractNumId w:val="9"/>
  </w:num>
  <w:num w:numId="36" w16cid:durableId="1125076477">
    <w:abstractNumId w:val="27"/>
  </w:num>
  <w:num w:numId="37" w16cid:durableId="1723015615">
    <w:abstractNumId w:val="23"/>
  </w:num>
  <w:num w:numId="38" w16cid:durableId="321203006">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31"/>
    <w:rsid w:val="00001194"/>
    <w:rsid w:val="000011B0"/>
    <w:rsid w:val="00002569"/>
    <w:rsid w:val="0000302C"/>
    <w:rsid w:val="0000313E"/>
    <w:rsid w:val="000039CD"/>
    <w:rsid w:val="00003D66"/>
    <w:rsid w:val="000046DC"/>
    <w:rsid w:val="000053C1"/>
    <w:rsid w:val="00005C17"/>
    <w:rsid w:val="00006133"/>
    <w:rsid w:val="00007F94"/>
    <w:rsid w:val="00010049"/>
    <w:rsid w:val="0001077D"/>
    <w:rsid w:val="00011326"/>
    <w:rsid w:val="000136B9"/>
    <w:rsid w:val="00013BDE"/>
    <w:rsid w:val="00013D46"/>
    <w:rsid w:val="000140B3"/>
    <w:rsid w:val="0001566E"/>
    <w:rsid w:val="000157B9"/>
    <w:rsid w:val="00015809"/>
    <w:rsid w:val="0001780C"/>
    <w:rsid w:val="000178D3"/>
    <w:rsid w:val="00020C38"/>
    <w:rsid w:val="000214B3"/>
    <w:rsid w:val="00022718"/>
    <w:rsid w:val="00022883"/>
    <w:rsid w:val="0002303B"/>
    <w:rsid w:val="000237E2"/>
    <w:rsid w:val="00024A7A"/>
    <w:rsid w:val="0002515F"/>
    <w:rsid w:val="00026FBF"/>
    <w:rsid w:val="000270BA"/>
    <w:rsid w:val="000270E6"/>
    <w:rsid w:val="0002732D"/>
    <w:rsid w:val="00030E3B"/>
    <w:rsid w:val="000321BC"/>
    <w:rsid w:val="00033097"/>
    <w:rsid w:val="000339FE"/>
    <w:rsid w:val="00033CD1"/>
    <w:rsid w:val="000348E3"/>
    <w:rsid w:val="00036135"/>
    <w:rsid w:val="000365D3"/>
    <w:rsid w:val="00036B61"/>
    <w:rsid w:val="000406D1"/>
    <w:rsid w:val="0004203F"/>
    <w:rsid w:val="0004391E"/>
    <w:rsid w:val="00045578"/>
    <w:rsid w:val="00045D05"/>
    <w:rsid w:val="0004727B"/>
    <w:rsid w:val="00047B14"/>
    <w:rsid w:val="00050033"/>
    <w:rsid w:val="000506CC"/>
    <w:rsid w:val="00051FFE"/>
    <w:rsid w:val="00052E67"/>
    <w:rsid w:val="0005310F"/>
    <w:rsid w:val="00053D20"/>
    <w:rsid w:val="00054442"/>
    <w:rsid w:val="0005538D"/>
    <w:rsid w:val="000555EE"/>
    <w:rsid w:val="00056C0B"/>
    <w:rsid w:val="00056F85"/>
    <w:rsid w:val="00057D2B"/>
    <w:rsid w:val="00060243"/>
    <w:rsid w:val="00062111"/>
    <w:rsid w:val="000628CC"/>
    <w:rsid w:val="00062A8B"/>
    <w:rsid w:val="0006321A"/>
    <w:rsid w:val="00064A94"/>
    <w:rsid w:val="000653EF"/>
    <w:rsid w:val="000658EC"/>
    <w:rsid w:val="00066378"/>
    <w:rsid w:val="0006683C"/>
    <w:rsid w:val="00067287"/>
    <w:rsid w:val="00067358"/>
    <w:rsid w:val="00067E9E"/>
    <w:rsid w:val="00070186"/>
    <w:rsid w:val="00071A74"/>
    <w:rsid w:val="00071D3B"/>
    <w:rsid w:val="00072D1D"/>
    <w:rsid w:val="00072EC2"/>
    <w:rsid w:val="00074499"/>
    <w:rsid w:val="00074589"/>
    <w:rsid w:val="00075B9B"/>
    <w:rsid w:val="000770C4"/>
    <w:rsid w:val="0007742E"/>
    <w:rsid w:val="000808CE"/>
    <w:rsid w:val="00080CA5"/>
    <w:rsid w:val="000812D7"/>
    <w:rsid w:val="0008234F"/>
    <w:rsid w:val="0008268A"/>
    <w:rsid w:val="000828FC"/>
    <w:rsid w:val="0008299F"/>
    <w:rsid w:val="000837C2"/>
    <w:rsid w:val="00083EC5"/>
    <w:rsid w:val="0008587A"/>
    <w:rsid w:val="00085FA2"/>
    <w:rsid w:val="00087603"/>
    <w:rsid w:val="0009095F"/>
    <w:rsid w:val="00090FAD"/>
    <w:rsid w:val="000910CB"/>
    <w:rsid w:val="000925B1"/>
    <w:rsid w:val="0009299B"/>
    <w:rsid w:val="000957C5"/>
    <w:rsid w:val="00096F4A"/>
    <w:rsid w:val="0009734C"/>
    <w:rsid w:val="000A097A"/>
    <w:rsid w:val="000A0B55"/>
    <w:rsid w:val="000A1514"/>
    <w:rsid w:val="000A2224"/>
    <w:rsid w:val="000A301F"/>
    <w:rsid w:val="000A3960"/>
    <w:rsid w:val="000A4761"/>
    <w:rsid w:val="000A53CE"/>
    <w:rsid w:val="000A5DBE"/>
    <w:rsid w:val="000A7350"/>
    <w:rsid w:val="000A755A"/>
    <w:rsid w:val="000B074C"/>
    <w:rsid w:val="000B1A85"/>
    <w:rsid w:val="000B26BA"/>
    <w:rsid w:val="000B2F83"/>
    <w:rsid w:val="000B342F"/>
    <w:rsid w:val="000B3B66"/>
    <w:rsid w:val="000B4275"/>
    <w:rsid w:val="000B4367"/>
    <w:rsid w:val="000B457F"/>
    <w:rsid w:val="000B519A"/>
    <w:rsid w:val="000B60B8"/>
    <w:rsid w:val="000B6504"/>
    <w:rsid w:val="000B6729"/>
    <w:rsid w:val="000B6978"/>
    <w:rsid w:val="000B69D3"/>
    <w:rsid w:val="000B6AEC"/>
    <w:rsid w:val="000B70FD"/>
    <w:rsid w:val="000B72D8"/>
    <w:rsid w:val="000B743F"/>
    <w:rsid w:val="000B7C02"/>
    <w:rsid w:val="000B7DC7"/>
    <w:rsid w:val="000C0F6F"/>
    <w:rsid w:val="000C126B"/>
    <w:rsid w:val="000C1533"/>
    <w:rsid w:val="000C196C"/>
    <w:rsid w:val="000C2232"/>
    <w:rsid w:val="000C343D"/>
    <w:rsid w:val="000C490A"/>
    <w:rsid w:val="000C4B85"/>
    <w:rsid w:val="000C588E"/>
    <w:rsid w:val="000C5C68"/>
    <w:rsid w:val="000C6856"/>
    <w:rsid w:val="000C6F02"/>
    <w:rsid w:val="000C7D66"/>
    <w:rsid w:val="000D0FD6"/>
    <w:rsid w:val="000D1181"/>
    <w:rsid w:val="000D1EEF"/>
    <w:rsid w:val="000D2478"/>
    <w:rsid w:val="000D2982"/>
    <w:rsid w:val="000D2C08"/>
    <w:rsid w:val="000D2FB0"/>
    <w:rsid w:val="000D35F3"/>
    <w:rsid w:val="000D3E39"/>
    <w:rsid w:val="000D4A96"/>
    <w:rsid w:val="000D4DAE"/>
    <w:rsid w:val="000D5CF0"/>
    <w:rsid w:val="000D5E03"/>
    <w:rsid w:val="000D666B"/>
    <w:rsid w:val="000D6D84"/>
    <w:rsid w:val="000D7454"/>
    <w:rsid w:val="000D7573"/>
    <w:rsid w:val="000D78F1"/>
    <w:rsid w:val="000E1F76"/>
    <w:rsid w:val="000E2FE5"/>
    <w:rsid w:val="000E3AFC"/>
    <w:rsid w:val="000E46FD"/>
    <w:rsid w:val="000E529E"/>
    <w:rsid w:val="000E6C32"/>
    <w:rsid w:val="000E6FDF"/>
    <w:rsid w:val="000E753A"/>
    <w:rsid w:val="000F249D"/>
    <w:rsid w:val="000F3A37"/>
    <w:rsid w:val="000F4997"/>
    <w:rsid w:val="000F51D8"/>
    <w:rsid w:val="000F5CC1"/>
    <w:rsid w:val="000F7738"/>
    <w:rsid w:val="001004B7"/>
    <w:rsid w:val="00100514"/>
    <w:rsid w:val="00101871"/>
    <w:rsid w:val="0010191F"/>
    <w:rsid w:val="00101CFB"/>
    <w:rsid w:val="00102662"/>
    <w:rsid w:val="00103295"/>
    <w:rsid w:val="00103A23"/>
    <w:rsid w:val="00103CAA"/>
    <w:rsid w:val="001040D0"/>
    <w:rsid w:val="00104462"/>
    <w:rsid w:val="00104CA5"/>
    <w:rsid w:val="00105424"/>
    <w:rsid w:val="00106A01"/>
    <w:rsid w:val="00106E41"/>
    <w:rsid w:val="00107635"/>
    <w:rsid w:val="001077CB"/>
    <w:rsid w:val="00107866"/>
    <w:rsid w:val="00107BF1"/>
    <w:rsid w:val="00107F11"/>
    <w:rsid w:val="0011038A"/>
    <w:rsid w:val="00112B67"/>
    <w:rsid w:val="00113300"/>
    <w:rsid w:val="00113714"/>
    <w:rsid w:val="0011391F"/>
    <w:rsid w:val="001139AF"/>
    <w:rsid w:val="00115760"/>
    <w:rsid w:val="00115D74"/>
    <w:rsid w:val="00115D89"/>
    <w:rsid w:val="00115F69"/>
    <w:rsid w:val="00116135"/>
    <w:rsid w:val="00116755"/>
    <w:rsid w:val="0011681A"/>
    <w:rsid w:val="0011779E"/>
    <w:rsid w:val="001200C5"/>
    <w:rsid w:val="00121A9E"/>
    <w:rsid w:val="0012390C"/>
    <w:rsid w:val="00123A45"/>
    <w:rsid w:val="00123ACF"/>
    <w:rsid w:val="00123DBB"/>
    <w:rsid w:val="001243CD"/>
    <w:rsid w:val="0012479C"/>
    <w:rsid w:val="0012521A"/>
    <w:rsid w:val="00125FEF"/>
    <w:rsid w:val="00126113"/>
    <w:rsid w:val="00126C3A"/>
    <w:rsid w:val="00127020"/>
    <w:rsid w:val="00130553"/>
    <w:rsid w:val="00130994"/>
    <w:rsid w:val="0013148D"/>
    <w:rsid w:val="00132AFA"/>
    <w:rsid w:val="00133AC3"/>
    <w:rsid w:val="001344D9"/>
    <w:rsid w:val="0013488B"/>
    <w:rsid w:val="00136765"/>
    <w:rsid w:val="00140054"/>
    <w:rsid w:val="00141438"/>
    <w:rsid w:val="0014205A"/>
    <w:rsid w:val="00142ABA"/>
    <w:rsid w:val="00142E2E"/>
    <w:rsid w:val="00143414"/>
    <w:rsid w:val="00144262"/>
    <w:rsid w:val="00144C68"/>
    <w:rsid w:val="0014529F"/>
    <w:rsid w:val="00145D91"/>
    <w:rsid w:val="0014610F"/>
    <w:rsid w:val="00146AE1"/>
    <w:rsid w:val="00150258"/>
    <w:rsid w:val="001528C6"/>
    <w:rsid w:val="0015348E"/>
    <w:rsid w:val="00154D77"/>
    <w:rsid w:val="00154DC1"/>
    <w:rsid w:val="00155117"/>
    <w:rsid w:val="00155BC0"/>
    <w:rsid w:val="00155D39"/>
    <w:rsid w:val="00155D81"/>
    <w:rsid w:val="001608CA"/>
    <w:rsid w:val="0016243C"/>
    <w:rsid w:val="00162BC9"/>
    <w:rsid w:val="00163060"/>
    <w:rsid w:val="00163AEC"/>
    <w:rsid w:val="0016475B"/>
    <w:rsid w:val="00164773"/>
    <w:rsid w:val="00164786"/>
    <w:rsid w:val="00165248"/>
    <w:rsid w:val="0016601E"/>
    <w:rsid w:val="00167AE3"/>
    <w:rsid w:val="001708B7"/>
    <w:rsid w:val="00170DDE"/>
    <w:rsid w:val="00170E6C"/>
    <w:rsid w:val="00171F69"/>
    <w:rsid w:val="00172E51"/>
    <w:rsid w:val="00174392"/>
    <w:rsid w:val="00174473"/>
    <w:rsid w:val="00174A5C"/>
    <w:rsid w:val="00175A08"/>
    <w:rsid w:val="00175ED3"/>
    <w:rsid w:val="001768D1"/>
    <w:rsid w:val="001768E0"/>
    <w:rsid w:val="00176C28"/>
    <w:rsid w:val="00180335"/>
    <w:rsid w:val="001810C9"/>
    <w:rsid w:val="001822D8"/>
    <w:rsid w:val="00182671"/>
    <w:rsid w:val="00182D35"/>
    <w:rsid w:val="00183415"/>
    <w:rsid w:val="0018351C"/>
    <w:rsid w:val="00183A92"/>
    <w:rsid w:val="001840CB"/>
    <w:rsid w:val="0018420D"/>
    <w:rsid w:val="001843D0"/>
    <w:rsid w:val="00184823"/>
    <w:rsid w:val="00184825"/>
    <w:rsid w:val="001849CF"/>
    <w:rsid w:val="00185820"/>
    <w:rsid w:val="0018586D"/>
    <w:rsid w:val="001862A1"/>
    <w:rsid w:val="00186357"/>
    <w:rsid w:val="00187692"/>
    <w:rsid w:val="00187CB9"/>
    <w:rsid w:val="00187F6F"/>
    <w:rsid w:val="00190D10"/>
    <w:rsid w:val="00191480"/>
    <w:rsid w:val="00191613"/>
    <w:rsid w:val="00191972"/>
    <w:rsid w:val="00191DA1"/>
    <w:rsid w:val="00192571"/>
    <w:rsid w:val="00194139"/>
    <w:rsid w:val="00194EBB"/>
    <w:rsid w:val="00196201"/>
    <w:rsid w:val="001964CE"/>
    <w:rsid w:val="00197653"/>
    <w:rsid w:val="00197A8D"/>
    <w:rsid w:val="00197BA1"/>
    <w:rsid w:val="001A0ACD"/>
    <w:rsid w:val="001A1283"/>
    <w:rsid w:val="001A1D25"/>
    <w:rsid w:val="001A25C2"/>
    <w:rsid w:val="001A30B5"/>
    <w:rsid w:val="001A414B"/>
    <w:rsid w:val="001A4534"/>
    <w:rsid w:val="001A49F6"/>
    <w:rsid w:val="001A4A55"/>
    <w:rsid w:val="001A528E"/>
    <w:rsid w:val="001A5C9C"/>
    <w:rsid w:val="001B0B5C"/>
    <w:rsid w:val="001B16B8"/>
    <w:rsid w:val="001B3A65"/>
    <w:rsid w:val="001B3B35"/>
    <w:rsid w:val="001B3C6F"/>
    <w:rsid w:val="001B410A"/>
    <w:rsid w:val="001B4FA3"/>
    <w:rsid w:val="001B5220"/>
    <w:rsid w:val="001B591F"/>
    <w:rsid w:val="001B5DB9"/>
    <w:rsid w:val="001B6EA5"/>
    <w:rsid w:val="001C00E6"/>
    <w:rsid w:val="001C14B9"/>
    <w:rsid w:val="001C22EC"/>
    <w:rsid w:val="001C2316"/>
    <w:rsid w:val="001C2482"/>
    <w:rsid w:val="001C2718"/>
    <w:rsid w:val="001C3452"/>
    <w:rsid w:val="001C3724"/>
    <w:rsid w:val="001C516C"/>
    <w:rsid w:val="001C5695"/>
    <w:rsid w:val="001C6FDE"/>
    <w:rsid w:val="001C744C"/>
    <w:rsid w:val="001C7477"/>
    <w:rsid w:val="001D04AE"/>
    <w:rsid w:val="001D1A76"/>
    <w:rsid w:val="001D1EE9"/>
    <w:rsid w:val="001D29B1"/>
    <w:rsid w:val="001D2E8F"/>
    <w:rsid w:val="001D3BD4"/>
    <w:rsid w:val="001D4A62"/>
    <w:rsid w:val="001D4D78"/>
    <w:rsid w:val="001D4FEE"/>
    <w:rsid w:val="001D65EA"/>
    <w:rsid w:val="001D7F4C"/>
    <w:rsid w:val="001E0104"/>
    <w:rsid w:val="001E144B"/>
    <w:rsid w:val="001E14DE"/>
    <w:rsid w:val="001E1F57"/>
    <w:rsid w:val="001E27AC"/>
    <w:rsid w:val="001E2AA0"/>
    <w:rsid w:val="001E49B5"/>
    <w:rsid w:val="001E4A46"/>
    <w:rsid w:val="001E541A"/>
    <w:rsid w:val="001E5CC6"/>
    <w:rsid w:val="001E62E0"/>
    <w:rsid w:val="001E63AD"/>
    <w:rsid w:val="001E64BE"/>
    <w:rsid w:val="001E687A"/>
    <w:rsid w:val="001E7A41"/>
    <w:rsid w:val="001F169B"/>
    <w:rsid w:val="001F2790"/>
    <w:rsid w:val="001F2F01"/>
    <w:rsid w:val="001F3021"/>
    <w:rsid w:val="001F3147"/>
    <w:rsid w:val="001F3308"/>
    <w:rsid w:val="001F3611"/>
    <w:rsid w:val="001F466C"/>
    <w:rsid w:val="001F5162"/>
    <w:rsid w:val="001F5F66"/>
    <w:rsid w:val="001F6AF9"/>
    <w:rsid w:val="001F777C"/>
    <w:rsid w:val="0020022C"/>
    <w:rsid w:val="00200C7D"/>
    <w:rsid w:val="0020115A"/>
    <w:rsid w:val="00201AA9"/>
    <w:rsid w:val="002034E6"/>
    <w:rsid w:val="002038B6"/>
    <w:rsid w:val="0020427C"/>
    <w:rsid w:val="00205003"/>
    <w:rsid w:val="0020532C"/>
    <w:rsid w:val="00205585"/>
    <w:rsid w:val="002061C8"/>
    <w:rsid w:val="00206C62"/>
    <w:rsid w:val="00206CD7"/>
    <w:rsid w:val="00207083"/>
    <w:rsid w:val="002073B2"/>
    <w:rsid w:val="002105AC"/>
    <w:rsid w:val="0021085E"/>
    <w:rsid w:val="00210887"/>
    <w:rsid w:val="00212934"/>
    <w:rsid w:val="0021318B"/>
    <w:rsid w:val="00213281"/>
    <w:rsid w:val="002138BD"/>
    <w:rsid w:val="00213DB3"/>
    <w:rsid w:val="00214048"/>
    <w:rsid w:val="00214D1C"/>
    <w:rsid w:val="002154A3"/>
    <w:rsid w:val="00215746"/>
    <w:rsid w:val="00215848"/>
    <w:rsid w:val="0021587F"/>
    <w:rsid w:val="00215B7E"/>
    <w:rsid w:val="0021648C"/>
    <w:rsid w:val="00216D69"/>
    <w:rsid w:val="0021736B"/>
    <w:rsid w:val="00217B82"/>
    <w:rsid w:val="00221780"/>
    <w:rsid w:val="00221AC1"/>
    <w:rsid w:val="00223532"/>
    <w:rsid w:val="002242FD"/>
    <w:rsid w:val="00225190"/>
    <w:rsid w:val="002252F4"/>
    <w:rsid w:val="00225381"/>
    <w:rsid w:val="00225A22"/>
    <w:rsid w:val="00225E9F"/>
    <w:rsid w:val="00226322"/>
    <w:rsid w:val="0022751F"/>
    <w:rsid w:val="002277B5"/>
    <w:rsid w:val="00227814"/>
    <w:rsid w:val="00230186"/>
    <w:rsid w:val="0023023C"/>
    <w:rsid w:val="00230744"/>
    <w:rsid w:val="0023092A"/>
    <w:rsid w:val="00230FAD"/>
    <w:rsid w:val="00232035"/>
    <w:rsid w:val="002323F3"/>
    <w:rsid w:val="00232553"/>
    <w:rsid w:val="00232822"/>
    <w:rsid w:val="002328B7"/>
    <w:rsid w:val="002343B8"/>
    <w:rsid w:val="00236612"/>
    <w:rsid w:val="00236BDC"/>
    <w:rsid w:val="00237546"/>
    <w:rsid w:val="00242A4E"/>
    <w:rsid w:val="00242C3B"/>
    <w:rsid w:val="00243224"/>
    <w:rsid w:val="00243AD3"/>
    <w:rsid w:val="0024407C"/>
    <w:rsid w:val="00244953"/>
    <w:rsid w:val="00244B3F"/>
    <w:rsid w:val="00244E26"/>
    <w:rsid w:val="00247B65"/>
    <w:rsid w:val="00250593"/>
    <w:rsid w:val="00251BC8"/>
    <w:rsid w:val="00252C7B"/>
    <w:rsid w:val="00252F6D"/>
    <w:rsid w:val="00254024"/>
    <w:rsid w:val="00254948"/>
    <w:rsid w:val="00254D44"/>
    <w:rsid w:val="0025554E"/>
    <w:rsid w:val="00256BCF"/>
    <w:rsid w:val="00257363"/>
    <w:rsid w:val="002618FD"/>
    <w:rsid w:val="002619B1"/>
    <w:rsid w:val="00261F27"/>
    <w:rsid w:val="00261F56"/>
    <w:rsid w:val="002620F8"/>
    <w:rsid w:val="002625FE"/>
    <w:rsid w:val="0026302D"/>
    <w:rsid w:val="002646FC"/>
    <w:rsid w:val="00264C1B"/>
    <w:rsid w:val="00264CDA"/>
    <w:rsid w:val="00265143"/>
    <w:rsid w:val="00265240"/>
    <w:rsid w:val="00266049"/>
    <w:rsid w:val="002660E0"/>
    <w:rsid w:val="00266155"/>
    <w:rsid w:val="00266AE7"/>
    <w:rsid w:val="00267255"/>
    <w:rsid w:val="002703FF"/>
    <w:rsid w:val="00270D21"/>
    <w:rsid w:val="00271AE5"/>
    <w:rsid w:val="00272253"/>
    <w:rsid w:val="002730F9"/>
    <w:rsid w:val="0027437E"/>
    <w:rsid w:val="00274536"/>
    <w:rsid w:val="00274849"/>
    <w:rsid w:val="002749B0"/>
    <w:rsid w:val="00274A2B"/>
    <w:rsid w:val="00275895"/>
    <w:rsid w:val="002761AD"/>
    <w:rsid w:val="002761DD"/>
    <w:rsid w:val="0027692F"/>
    <w:rsid w:val="00277E8B"/>
    <w:rsid w:val="00280C5A"/>
    <w:rsid w:val="00280F92"/>
    <w:rsid w:val="002813DE"/>
    <w:rsid w:val="0028178E"/>
    <w:rsid w:val="002818EC"/>
    <w:rsid w:val="002821AA"/>
    <w:rsid w:val="0028363F"/>
    <w:rsid w:val="002842E2"/>
    <w:rsid w:val="002843BC"/>
    <w:rsid w:val="002848B5"/>
    <w:rsid w:val="0028553C"/>
    <w:rsid w:val="00287680"/>
    <w:rsid w:val="002876EE"/>
    <w:rsid w:val="00290142"/>
    <w:rsid w:val="00290351"/>
    <w:rsid w:val="00290DB4"/>
    <w:rsid w:val="002910ED"/>
    <w:rsid w:val="002918C1"/>
    <w:rsid w:val="00291BCD"/>
    <w:rsid w:val="00292489"/>
    <w:rsid w:val="00292DC8"/>
    <w:rsid w:val="002941F1"/>
    <w:rsid w:val="002941F2"/>
    <w:rsid w:val="0029467B"/>
    <w:rsid w:val="002947B5"/>
    <w:rsid w:val="002949C7"/>
    <w:rsid w:val="0029574E"/>
    <w:rsid w:val="00296844"/>
    <w:rsid w:val="0029686F"/>
    <w:rsid w:val="00296C31"/>
    <w:rsid w:val="0029718D"/>
    <w:rsid w:val="002A0911"/>
    <w:rsid w:val="002A4A2A"/>
    <w:rsid w:val="002A5911"/>
    <w:rsid w:val="002A6316"/>
    <w:rsid w:val="002A6FC1"/>
    <w:rsid w:val="002A7EEA"/>
    <w:rsid w:val="002B0C65"/>
    <w:rsid w:val="002B1590"/>
    <w:rsid w:val="002B1E04"/>
    <w:rsid w:val="002B1E1D"/>
    <w:rsid w:val="002B24E3"/>
    <w:rsid w:val="002B277F"/>
    <w:rsid w:val="002B2CE4"/>
    <w:rsid w:val="002B3B60"/>
    <w:rsid w:val="002B4050"/>
    <w:rsid w:val="002B443E"/>
    <w:rsid w:val="002B7726"/>
    <w:rsid w:val="002B7B13"/>
    <w:rsid w:val="002C05E7"/>
    <w:rsid w:val="002C08B4"/>
    <w:rsid w:val="002C090D"/>
    <w:rsid w:val="002C1B82"/>
    <w:rsid w:val="002C200D"/>
    <w:rsid w:val="002C37E8"/>
    <w:rsid w:val="002C45E7"/>
    <w:rsid w:val="002C4714"/>
    <w:rsid w:val="002C4FC0"/>
    <w:rsid w:val="002C5322"/>
    <w:rsid w:val="002C552E"/>
    <w:rsid w:val="002C5866"/>
    <w:rsid w:val="002C6813"/>
    <w:rsid w:val="002D03C3"/>
    <w:rsid w:val="002D0E65"/>
    <w:rsid w:val="002D16BF"/>
    <w:rsid w:val="002D3683"/>
    <w:rsid w:val="002D3C21"/>
    <w:rsid w:val="002D4357"/>
    <w:rsid w:val="002D5458"/>
    <w:rsid w:val="002D58D2"/>
    <w:rsid w:val="002D607A"/>
    <w:rsid w:val="002D6B46"/>
    <w:rsid w:val="002D78A1"/>
    <w:rsid w:val="002D7925"/>
    <w:rsid w:val="002D7D27"/>
    <w:rsid w:val="002E05FB"/>
    <w:rsid w:val="002E087A"/>
    <w:rsid w:val="002E1A47"/>
    <w:rsid w:val="002E3DCB"/>
    <w:rsid w:val="002E432E"/>
    <w:rsid w:val="002E5039"/>
    <w:rsid w:val="002E6612"/>
    <w:rsid w:val="002E7D30"/>
    <w:rsid w:val="002F12F9"/>
    <w:rsid w:val="002F177A"/>
    <w:rsid w:val="002F308D"/>
    <w:rsid w:val="002F3A04"/>
    <w:rsid w:val="002F3E75"/>
    <w:rsid w:val="002F4288"/>
    <w:rsid w:val="002F43AB"/>
    <w:rsid w:val="002F4714"/>
    <w:rsid w:val="002F481B"/>
    <w:rsid w:val="002F4E5F"/>
    <w:rsid w:val="002F62F6"/>
    <w:rsid w:val="002F6DEE"/>
    <w:rsid w:val="002F78AF"/>
    <w:rsid w:val="002F7949"/>
    <w:rsid w:val="002F7E97"/>
    <w:rsid w:val="0030073C"/>
    <w:rsid w:val="00300A59"/>
    <w:rsid w:val="00301757"/>
    <w:rsid w:val="003024F0"/>
    <w:rsid w:val="00302C87"/>
    <w:rsid w:val="00303053"/>
    <w:rsid w:val="003031BF"/>
    <w:rsid w:val="00303601"/>
    <w:rsid w:val="00303E37"/>
    <w:rsid w:val="00305BEA"/>
    <w:rsid w:val="00305D37"/>
    <w:rsid w:val="00306126"/>
    <w:rsid w:val="00311149"/>
    <w:rsid w:val="00311AF1"/>
    <w:rsid w:val="00311B4F"/>
    <w:rsid w:val="003122E7"/>
    <w:rsid w:val="00312336"/>
    <w:rsid w:val="0031275E"/>
    <w:rsid w:val="003133F5"/>
    <w:rsid w:val="00313954"/>
    <w:rsid w:val="00313DBA"/>
    <w:rsid w:val="003144C5"/>
    <w:rsid w:val="00315AD0"/>
    <w:rsid w:val="003163CE"/>
    <w:rsid w:val="00316655"/>
    <w:rsid w:val="00316A62"/>
    <w:rsid w:val="00320279"/>
    <w:rsid w:val="0032038C"/>
    <w:rsid w:val="003206A7"/>
    <w:rsid w:val="00320A38"/>
    <w:rsid w:val="00321419"/>
    <w:rsid w:val="00321FE4"/>
    <w:rsid w:val="00322321"/>
    <w:rsid w:val="00322B97"/>
    <w:rsid w:val="0032337E"/>
    <w:rsid w:val="00323D8B"/>
    <w:rsid w:val="00323EFF"/>
    <w:rsid w:val="00323F1E"/>
    <w:rsid w:val="00324C0B"/>
    <w:rsid w:val="00325823"/>
    <w:rsid w:val="00325CC5"/>
    <w:rsid w:val="0032647F"/>
    <w:rsid w:val="003267CC"/>
    <w:rsid w:val="00326D45"/>
    <w:rsid w:val="00327200"/>
    <w:rsid w:val="00327DED"/>
    <w:rsid w:val="003300AD"/>
    <w:rsid w:val="0033098F"/>
    <w:rsid w:val="00330C8A"/>
    <w:rsid w:val="00330DFA"/>
    <w:rsid w:val="00330F8F"/>
    <w:rsid w:val="0033105F"/>
    <w:rsid w:val="00332304"/>
    <w:rsid w:val="003323D6"/>
    <w:rsid w:val="00332D8C"/>
    <w:rsid w:val="003333F7"/>
    <w:rsid w:val="003344CA"/>
    <w:rsid w:val="00334A3F"/>
    <w:rsid w:val="00335282"/>
    <w:rsid w:val="00335C8A"/>
    <w:rsid w:val="0033662C"/>
    <w:rsid w:val="0033663D"/>
    <w:rsid w:val="00337202"/>
    <w:rsid w:val="0033734B"/>
    <w:rsid w:val="0033749F"/>
    <w:rsid w:val="00337AD9"/>
    <w:rsid w:val="0034023B"/>
    <w:rsid w:val="0034193A"/>
    <w:rsid w:val="00341F43"/>
    <w:rsid w:val="003420A0"/>
    <w:rsid w:val="003420A4"/>
    <w:rsid w:val="003428C4"/>
    <w:rsid w:val="00344229"/>
    <w:rsid w:val="00344D2B"/>
    <w:rsid w:val="00344FBE"/>
    <w:rsid w:val="0034512A"/>
    <w:rsid w:val="00345FD7"/>
    <w:rsid w:val="003467EC"/>
    <w:rsid w:val="00347013"/>
    <w:rsid w:val="00347EC1"/>
    <w:rsid w:val="00350A40"/>
    <w:rsid w:val="00350D8B"/>
    <w:rsid w:val="00352F20"/>
    <w:rsid w:val="00353A18"/>
    <w:rsid w:val="003542EF"/>
    <w:rsid w:val="00354AC7"/>
    <w:rsid w:val="00354DF8"/>
    <w:rsid w:val="00355C1F"/>
    <w:rsid w:val="003574D4"/>
    <w:rsid w:val="00357AA9"/>
    <w:rsid w:val="00361049"/>
    <w:rsid w:val="00362DFE"/>
    <w:rsid w:val="00363453"/>
    <w:rsid w:val="00363826"/>
    <w:rsid w:val="00364ECB"/>
    <w:rsid w:val="00365514"/>
    <w:rsid w:val="0036586F"/>
    <w:rsid w:val="00365D8C"/>
    <w:rsid w:val="00366515"/>
    <w:rsid w:val="0036697F"/>
    <w:rsid w:val="003712CF"/>
    <w:rsid w:val="003719AA"/>
    <w:rsid w:val="003721A7"/>
    <w:rsid w:val="0037250B"/>
    <w:rsid w:val="00372B94"/>
    <w:rsid w:val="0037334B"/>
    <w:rsid w:val="00374135"/>
    <w:rsid w:val="00374963"/>
    <w:rsid w:val="003758CE"/>
    <w:rsid w:val="00375A82"/>
    <w:rsid w:val="00377242"/>
    <w:rsid w:val="0038008A"/>
    <w:rsid w:val="003808AF"/>
    <w:rsid w:val="00380997"/>
    <w:rsid w:val="00381535"/>
    <w:rsid w:val="0038180B"/>
    <w:rsid w:val="0038327E"/>
    <w:rsid w:val="00384FA3"/>
    <w:rsid w:val="00385052"/>
    <w:rsid w:val="0038659E"/>
    <w:rsid w:val="0039153D"/>
    <w:rsid w:val="00391541"/>
    <w:rsid w:val="003920E1"/>
    <w:rsid w:val="0039312F"/>
    <w:rsid w:val="00393CAA"/>
    <w:rsid w:val="003942F5"/>
    <w:rsid w:val="00394EA8"/>
    <w:rsid w:val="0039568C"/>
    <w:rsid w:val="00395F14"/>
    <w:rsid w:val="003960F3"/>
    <w:rsid w:val="00397361"/>
    <w:rsid w:val="00397512"/>
    <w:rsid w:val="003978C5"/>
    <w:rsid w:val="003A1085"/>
    <w:rsid w:val="003A1F7A"/>
    <w:rsid w:val="003A21A7"/>
    <w:rsid w:val="003A2596"/>
    <w:rsid w:val="003A2AD1"/>
    <w:rsid w:val="003A2E74"/>
    <w:rsid w:val="003A3B85"/>
    <w:rsid w:val="003B1038"/>
    <w:rsid w:val="003B21FC"/>
    <w:rsid w:val="003B3608"/>
    <w:rsid w:val="003B3783"/>
    <w:rsid w:val="003B3FFF"/>
    <w:rsid w:val="003B45FD"/>
    <w:rsid w:val="003B50D5"/>
    <w:rsid w:val="003B664E"/>
    <w:rsid w:val="003B6827"/>
    <w:rsid w:val="003B6D01"/>
    <w:rsid w:val="003C05D3"/>
    <w:rsid w:val="003C0837"/>
    <w:rsid w:val="003C0D29"/>
    <w:rsid w:val="003C0F54"/>
    <w:rsid w:val="003C1A87"/>
    <w:rsid w:val="003C24FC"/>
    <w:rsid w:val="003C2F4A"/>
    <w:rsid w:val="003C31B8"/>
    <w:rsid w:val="003C3544"/>
    <w:rsid w:val="003C36F9"/>
    <w:rsid w:val="003C4393"/>
    <w:rsid w:val="003C4442"/>
    <w:rsid w:val="003C47C9"/>
    <w:rsid w:val="003C66F1"/>
    <w:rsid w:val="003C6814"/>
    <w:rsid w:val="003C707C"/>
    <w:rsid w:val="003C7CDB"/>
    <w:rsid w:val="003D0C11"/>
    <w:rsid w:val="003D0FE4"/>
    <w:rsid w:val="003D18E0"/>
    <w:rsid w:val="003D2A3B"/>
    <w:rsid w:val="003D411D"/>
    <w:rsid w:val="003D4867"/>
    <w:rsid w:val="003D4C23"/>
    <w:rsid w:val="003D56C4"/>
    <w:rsid w:val="003D5819"/>
    <w:rsid w:val="003D6409"/>
    <w:rsid w:val="003D674E"/>
    <w:rsid w:val="003D6E5D"/>
    <w:rsid w:val="003E0057"/>
    <w:rsid w:val="003E00E5"/>
    <w:rsid w:val="003E1302"/>
    <w:rsid w:val="003E1738"/>
    <w:rsid w:val="003E1838"/>
    <w:rsid w:val="003E29DA"/>
    <w:rsid w:val="003E2B9F"/>
    <w:rsid w:val="003E2F89"/>
    <w:rsid w:val="003E39B4"/>
    <w:rsid w:val="003E4F88"/>
    <w:rsid w:val="003E565E"/>
    <w:rsid w:val="003E5679"/>
    <w:rsid w:val="003E5E8C"/>
    <w:rsid w:val="003E6049"/>
    <w:rsid w:val="003E6DDB"/>
    <w:rsid w:val="003E7A9A"/>
    <w:rsid w:val="003E7E77"/>
    <w:rsid w:val="003F00B0"/>
    <w:rsid w:val="003F0C6B"/>
    <w:rsid w:val="003F0F30"/>
    <w:rsid w:val="003F1022"/>
    <w:rsid w:val="003F1A33"/>
    <w:rsid w:val="003F2097"/>
    <w:rsid w:val="003F20C8"/>
    <w:rsid w:val="003F24EE"/>
    <w:rsid w:val="003F4639"/>
    <w:rsid w:val="003F4731"/>
    <w:rsid w:val="003F6766"/>
    <w:rsid w:val="003F6D2F"/>
    <w:rsid w:val="003F75F6"/>
    <w:rsid w:val="003F7774"/>
    <w:rsid w:val="00400840"/>
    <w:rsid w:val="00400886"/>
    <w:rsid w:val="00400E69"/>
    <w:rsid w:val="00401313"/>
    <w:rsid w:val="00401470"/>
    <w:rsid w:val="00401924"/>
    <w:rsid w:val="00402487"/>
    <w:rsid w:val="00402E3A"/>
    <w:rsid w:val="004032CE"/>
    <w:rsid w:val="0040365F"/>
    <w:rsid w:val="00404CAF"/>
    <w:rsid w:val="00405782"/>
    <w:rsid w:val="0040596E"/>
    <w:rsid w:val="004067D3"/>
    <w:rsid w:val="00406940"/>
    <w:rsid w:val="0040768C"/>
    <w:rsid w:val="00407745"/>
    <w:rsid w:val="00407C77"/>
    <w:rsid w:val="00410CBE"/>
    <w:rsid w:val="00410E45"/>
    <w:rsid w:val="00410FC9"/>
    <w:rsid w:val="004123B2"/>
    <w:rsid w:val="00412645"/>
    <w:rsid w:val="004136E1"/>
    <w:rsid w:val="00413CD4"/>
    <w:rsid w:val="004150E8"/>
    <w:rsid w:val="0041536C"/>
    <w:rsid w:val="004156FA"/>
    <w:rsid w:val="004158D7"/>
    <w:rsid w:val="00415DAF"/>
    <w:rsid w:val="0041613E"/>
    <w:rsid w:val="00416187"/>
    <w:rsid w:val="00416AF0"/>
    <w:rsid w:val="00417B2B"/>
    <w:rsid w:val="00425200"/>
    <w:rsid w:val="00425B08"/>
    <w:rsid w:val="00425B74"/>
    <w:rsid w:val="00426348"/>
    <w:rsid w:val="00426F63"/>
    <w:rsid w:val="00430915"/>
    <w:rsid w:val="00431082"/>
    <w:rsid w:val="00431719"/>
    <w:rsid w:val="00431DAE"/>
    <w:rsid w:val="0043262B"/>
    <w:rsid w:val="004335F8"/>
    <w:rsid w:val="004336AA"/>
    <w:rsid w:val="00434007"/>
    <w:rsid w:val="004349F6"/>
    <w:rsid w:val="00436865"/>
    <w:rsid w:val="00436C09"/>
    <w:rsid w:val="00436D73"/>
    <w:rsid w:val="00437291"/>
    <w:rsid w:val="004374E4"/>
    <w:rsid w:val="004375E6"/>
    <w:rsid w:val="00441516"/>
    <w:rsid w:val="00441B0E"/>
    <w:rsid w:val="00441EB0"/>
    <w:rsid w:val="00442108"/>
    <w:rsid w:val="00443A3C"/>
    <w:rsid w:val="00445A71"/>
    <w:rsid w:val="004462AC"/>
    <w:rsid w:val="00450A9B"/>
    <w:rsid w:val="00451FED"/>
    <w:rsid w:val="00453B3F"/>
    <w:rsid w:val="00454977"/>
    <w:rsid w:val="00455100"/>
    <w:rsid w:val="004553C3"/>
    <w:rsid w:val="00455465"/>
    <w:rsid w:val="0045571E"/>
    <w:rsid w:val="00456523"/>
    <w:rsid w:val="00456F3E"/>
    <w:rsid w:val="004574E7"/>
    <w:rsid w:val="004608AC"/>
    <w:rsid w:val="00461302"/>
    <w:rsid w:val="00462422"/>
    <w:rsid w:val="00462F6C"/>
    <w:rsid w:val="00463B35"/>
    <w:rsid w:val="00463F6F"/>
    <w:rsid w:val="004647F7"/>
    <w:rsid w:val="00464932"/>
    <w:rsid w:val="004658C8"/>
    <w:rsid w:val="00465B4E"/>
    <w:rsid w:val="004667C8"/>
    <w:rsid w:val="004671CB"/>
    <w:rsid w:val="0046738B"/>
    <w:rsid w:val="0047055D"/>
    <w:rsid w:val="0047162A"/>
    <w:rsid w:val="00473BA3"/>
    <w:rsid w:val="00473BDD"/>
    <w:rsid w:val="0047518F"/>
    <w:rsid w:val="004754D9"/>
    <w:rsid w:val="004767CF"/>
    <w:rsid w:val="00477210"/>
    <w:rsid w:val="00477E4E"/>
    <w:rsid w:val="0048267A"/>
    <w:rsid w:val="00482767"/>
    <w:rsid w:val="00482DC3"/>
    <w:rsid w:val="00483134"/>
    <w:rsid w:val="004840CB"/>
    <w:rsid w:val="0048447E"/>
    <w:rsid w:val="00485D23"/>
    <w:rsid w:val="004867C5"/>
    <w:rsid w:val="00486CDD"/>
    <w:rsid w:val="00487299"/>
    <w:rsid w:val="004878C7"/>
    <w:rsid w:val="00487A25"/>
    <w:rsid w:val="00490F39"/>
    <w:rsid w:val="0049239A"/>
    <w:rsid w:val="00492907"/>
    <w:rsid w:val="00494AFC"/>
    <w:rsid w:val="00495486"/>
    <w:rsid w:val="00495610"/>
    <w:rsid w:val="004960CC"/>
    <w:rsid w:val="00496639"/>
    <w:rsid w:val="00496896"/>
    <w:rsid w:val="004969E8"/>
    <w:rsid w:val="004A0622"/>
    <w:rsid w:val="004A065C"/>
    <w:rsid w:val="004A0698"/>
    <w:rsid w:val="004A10D8"/>
    <w:rsid w:val="004A1B53"/>
    <w:rsid w:val="004A23E7"/>
    <w:rsid w:val="004A37D6"/>
    <w:rsid w:val="004A3DBF"/>
    <w:rsid w:val="004A3DED"/>
    <w:rsid w:val="004A41EF"/>
    <w:rsid w:val="004A53E9"/>
    <w:rsid w:val="004A5716"/>
    <w:rsid w:val="004A5889"/>
    <w:rsid w:val="004A5EE4"/>
    <w:rsid w:val="004A5F41"/>
    <w:rsid w:val="004A6875"/>
    <w:rsid w:val="004A725E"/>
    <w:rsid w:val="004A7394"/>
    <w:rsid w:val="004A7683"/>
    <w:rsid w:val="004B1EB2"/>
    <w:rsid w:val="004B1FB8"/>
    <w:rsid w:val="004B1FD3"/>
    <w:rsid w:val="004B26B0"/>
    <w:rsid w:val="004B33EF"/>
    <w:rsid w:val="004B3AA4"/>
    <w:rsid w:val="004B3FFB"/>
    <w:rsid w:val="004B4D0C"/>
    <w:rsid w:val="004B5A1A"/>
    <w:rsid w:val="004B626B"/>
    <w:rsid w:val="004B637F"/>
    <w:rsid w:val="004B641B"/>
    <w:rsid w:val="004B65C8"/>
    <w:rsid w:val="004B67AB"/>
    <w:rsid w:val="004B692A"/>
    <w:rsid w:val="004B7359"/>
    <w:rsid w:val="004B780E"/>
    <w:rsid w:val="004C0339"/>
    <w:rsid w:val="004C21FB"/>
    <w:rsid w:val="004C2773"/>
    <w:rsid w:val="004C2785"/>
    <w:rsid w:val="004C39EC"/>
    <w:rsid w:val="004C42A9"/>
    <w:rsid w:val="004C449B"/>
    <w:rsid w:val="004C4AE7"/>
    <w:rsid w:val="004C6508"/>
    <w:rsid w:val="004C6727"/>
    <w:rsid w:val="004C73A6"/>
    <w:rsid w:val="004D19F9"/>
    <w:rsid w:val="004D2207"/>
    <w:rsid w:val="004D3F5E"/>
    <w:rsid w:val="004D4320"/>
    <w:rsid w:val="004D4A54"/>
    <w:rsid w:val="004D4C64"/>
    <w:rsid w:val="004D4D5C"/>
    <w:rsid w:val="004D6770"/>
    <w:rsid w:val="004D727B"/>
    <w:rsid w:val="004D7B40"/>
    <w:rsid w:val="004E0100"/>
    <w:rsid w:val="004E06C7"/>
    <w:rsid w:val="004E08F3"/>
    <w:rsid w:val="004E0FFE"/>
    <w:rsid w:val="004E1CBC"/>
    <w:rsid w:val="004E236C"/>
    <w:rsid w:val="004E23F5"/>
    <w:rsid w:val="004E24ED"/>
    <w:rsid w:val="004E2600"/>
    <w:rsid w:val="004E3507"/>
    <w:rsid w:val="004E3D3C"/>
    <w:rsid w:val="004E45A1"/>
    <w:rsid w:val="004E5625"/>
    <w:rsid w:val="004E618E"/>
    <w:rsid w:val="004F0316"/>
    <w:rsid w:val="004F0348"/>
    <w:rsid w:val="004F0A05"/>
    <w:rsid w:val="004F2232"/>
    <w:rsid w:val="004F3101"/>
    <w:rsid w:val="004F3FFC"/>
    <w:rsid w:val="004F40D4"/>
    <w:rsid w:val="004F4A10"/>
    <w:rsid w:val="004F538F"/>
    <w:rsid w:val="004F58E0"/>
    <w:rsid w:val="004F5ADE"/>
    <w:rsid w:val="004F6AF9"/>
    <w:rsid w:val="004F72DF"/>
    <w:rsid w:val="004F740A"/>
    <w:rsid w:val="004F75AF"/>
    <w:rsid w:val="00501877"/>
    <w:rsid w:val="00501B3F"/>
    <w:rsid w:val="00502D12"/>
    <w:rsid w:val="00503628"/>
    <w:rsid w:val="005037D5"/>
    <w:rsid w:val="00504BE1"/>
    <w:rsid w:val="005055B8"/>
    <w:rsid w:val="0050661D"/>
    <w:rsid w:val="005068AE"/>
    <w:rsid w:val="00506C61"/>
    <w:rsid w:val="0050713C"/>
    <w:rsid w:val="00510046"/>
    <w:rsid w:val="005101E8"/>
    <w:rsid w:val="00510914"/>
    <w:rsid w:val="00510C26"/>
    <w:rsid w:val="00510F12"/>
    <w:rsid w:val="005113D1"/>
    <w:rsid w:val="00511F29"/>
    <w:rsid w:val="00512909"/>
    <w:rsid w:val="005138D7"/>
    <w:rsid w:val="00515818"/>
    <w:rsid w:val="00516263"/>
    <w:rsid w:val="005164FE"/>
    <w:rsid w:val="0051650F"/>
    <w:rsid w:val="00516A3E"/>
    <w:rsid w:val="00516EEE"/>
    <w:rsid w:val="0051706E"/>
    <w:rsid w:val="005179AC"/>
    <w:rsid w:val="005201CE"/>
    <w:rsid w:val="0052050C"/>
    <w:rsid w:val="00520E8A"/>
    <w:rsid w:val="005213AD"/>
    <w:rsid w:val="005213FE"/>
    <w:rsid w:val="005218C5"/>
    <w:rsid w:val="005228CD"/>
    <w:rsid w:val="00522C4F"/>
    <w:rsid w:val="005236F6"/>
    <w:rsid w:val="005265C0"/>
    <w:rsid w:val="005270CF"/>
    <w:rsid w:val="00527180"/>
    <w:rsid w:val="00527196"/>
    <w:rsid w:val="00527D79"/>
    <w:rsid w:val="0053028E"/>
    <w:rsid w:val="00530AF8"/>
    <w:rsid w:val="00531591"/>
    <w:rsid w:val="00531792"/>
    <w:rsid w:val="00531AC8"/>
    <w:rsid w:val="00531B0A"/>
    <w:rsid w:val="00531D70"/>
    <w:rsid w:val="0053299E"/>
    <w:rsid w:val="0053336B"/>
    <w:rsid w:val="005336BB"/>
    <w:rsid w:val="00535EAB"/>
    <w:rsid w:val="00536386"/>
    <w:rsid w:val="005365A2"/>
    <w:rsid w:val="00536A0C"/>
    <w:rsid w:val="00536CA5"/>
    <w:rsid w:val="00540A69"/>
    <w:rsid w:val="00540BEC"/>
    <w:rsid w:val="005412B6"/>
    <w:rsid w:val="00541350"/>
    <w:rsid w:val="00541AA9"/>
    <w:rsid w:val="00541E07"/>
    <w:rsid w:val="00542263"/>
    <w:rsid w:val="00542310"/>
    <w:rsid w:val="005426E1"/>
    <w:rsid w:val="00543884"/>
    <w:rsid w:val="005440FC"/>
    <w:rsid w:val="00544315"/>
    <w:rsid w:val="0054438C"/>
    <w:rsid w:val="005445F6"/>
    <w:rsid w:val="005447C6"/>
    <w:rsid w:val="0054482B"/>
    <w:rsid w:val="005459BC"/>
    <w:rsid w:val="00545FF5"/>
    <w:rsid w:val="0054622E"/>
    <w:rsid w:val="00546DC9"/>
    <w:rsid w:val="005475FC"/>
    <w:rsid w:val="00547F35"/>
    <w:rsid w:val="00551A14"/>
    <w:rsid w:val="00551A28"/>
    <w:rsid w:val="00552042"/>
    <w:rsid w:val="005523A6"/>
    <w:rsid w:val="00552B24"/>
    <w:rsid w:val="00552BC8"/>
    <w:rsid w:val="0055413A"/>
    <w:rsid w:val="005552CB"/>
    <w:rsid w:val="00557242"/>
    <w:rsid w:val="005575FF"/>
    <w:rsid w:val="00557D59"/>
    <w:rsid w:val="0056014C"/>
    <w:rsid w:val="005605D7"/>
    <w:rsid w:val="00560B6B"/>
    <w:rsid w:val="00561201"/>
    <w:rsid w:val="005615CB"/>
    <w:rsid w:val="005615F3"/>
    <w:rsid w:val="00561A8A"/>
    <w:rsid w:val="00561B88"/>
    <w:rsid w:val="00562D64"/>
    <w:rsid w:val="0056354A"/>
    <w:rsid w:val="00563645"/>
    <w:rsid w:val="00563FC0"/>
    <w:rsid w:val="0056480E"/>
    <w:rsid w:val="00567FBC"/>
    <w:rsid w:val="00570DD0"/>
    <w:rsid w:val="005713AA"/>
    <w:rsid w:val="00571F81"/>
    <w:rsid w:val="005734C2"/>
    <w:rsid w:val="00573A02"/>
    <w:rsid w:val="00574542"/>
    <w:rsid w:val="00574673"/>
    <w:rsid w:val="00574B37"/>
    <w:rsid w:val="00574EEB"/>
    <w:rsid w:val="00576057"/>
    <w:rsid w:val="00576C99"/>
    <w:rsid w:val="0057711F"/>
    <w:rsid w:val="00580751"/>
    <w:rsid w:val="0058122F"/>
    <w:rsid w:val="00581522"/>
    <w:rsid w:val="00581E4B"/>
    <w:rsid w:val="005821B9"/>
    <w:rsid w:val="005822A0"/>
    <w:rsid w:val="00583947"/>
    <w:rsid w:val="00583CDD"/>
    <w:rsid w:val="00584670"/>
    <w:rsid w:val="00584672"/>
    <w:rsid w:val="0058481C"/>
    <w:rsid w:val="00585601"/>
    <w:rsid w:val="00585D05"/>
    <w:rsid w:val="00587311"/>
    <w:rsid w:val="00587432"/>
    <w:rsid w:val="00587548"/>
    <w:rsid w:val="00587FA1"/>
    <w:rsid w:val="00591717"/>
    <w:rsid w:val="00593C25"/>
    <w:rsid w:val="005965DF"/>
    <w:rsid w:val="005A17EB"/>
    <w:rsid w:val="005A2905"/>
    <w:rsid w:val="005A2BFC"/>
    <w:rsid w:val="005A340B"/>
    <w:rsid w:val="005A3772"/>
    <w:rsid w:val="005A3C31"/>
    <w:rsid w:val="005A4007"/>
    <w:rsid w:val="005A41A0"/>
    <w:rsid w:val="005A463E"/>
    <w:rsid w:val="005A4BC0"/>
    <w:rsid w:val="005A4EC0"/>
    <w:rsid w:val="005A5777"/>
    <w:rsid w:val="005A6023"/>
    <w:rsid w:val="005A61D9"/>
    <w:rsid w:val="005A63D4"/>
    <w:rsid w:val="005A70BC"/>
    <w:rsid w:val="005A7E77"/>
    <w:rsid w:val="005B063D"/>
    <w:rsid w:val="005B1336"/>
    <w:rsid w:val="005B1A16"/>
    <w:rsid w:val="005B204A"/>
    <w:rsid w:val="005B2059"/>
    <w:rsid w:val="005B2215"/>
    <w:rsid w:val="005B2E4D"/>
    <w:rsid w:val="005B3B50"/>
    <w:rsid w:val="005B3FF1"/>
    <w:rsid w:val="005B4185"/>
    <w:rsid w:val="005B4385"/>
    <w:rsid w:val="005B5A03"/>
    <w:rsid w:val="005B6B29"/>
    <w:rsid w:val="005C0C64"/>
    <w:rsid w:val="005C1552"/>
    <w:rsid w:val="005C296E"/>
    <w:rsid w:val="005C3FC1"/>
    <w:rsid w:val="005C43B8"/>
    <w:rsid w:val="005C48F8"/>
    <w:rsid w:val="005C5692"/>
    <w:rsid w:val="005C6164"/>
    <w:rsid w:val="005C76C3"/>
    <w:rsid w:val="005C7943"/>
    <w:rsid w:val="005D028E"/>
    <w:rsid w:val="005D052E"/>
    <w:rsid w:val="005D0723"/>
    <w:rsid w:val="005D2BF9"/>
    <w:rsid w:val="005D4EBB"/>
    <w:rsid w:val="005D58ED"/>
    <w:rsid w:val="005D73B6"/>
    <w:rsid w:val="005D7FF1"/>
    <w:rsid w:val="005E0AC4"/>
    <w:rsid w:val="005E0D94"/>
    <w:rsid w:val="005E2E48"/>
    <w:rsid w:val="005E2FE4"/>
    <w:rsid w:val="005E3796"/>
    <w:rsid w:val="005E380E"/>
    <w:rsid w:val="005E3DFB"/>
    <w:rsid w:val="005E40F4"/>
    <w:rsid w:val="005E43C1"/>
    <w:rsid w:val="005E4954"/>
    <w:rsid w:val="005E49C6"/>
    <w:rsid w:val="005E647C"/>
    <w:rsid w:val="005E6B68"/>
    <w:rsid w:val="005E6D94"/>
    <w:rsid w:val="005E6E50"/>
    <w:rsid w:val="005E760F"/>
    <w:rsid w:val="005E7755"/>
    <w:rsid w:val="005F0622"/>
    <w:rsid w:val="005F0BF1"/>
    <w:rsid w:val="005F1191"/>
    <w:rsid w:val="005F200F"/>
    <w:rsid w:val="005F283B"/>
    <w:rsid w:val="005F2C05"/>
    <w:rsid w:val="005F448D"/>
    <w:rsid w:val="005F5359"/>
    <w:rsid w:val="005F72D2"/>
    <w:rsid w:val="005F7331"/>
    <w:rsid w:val="005F7910"/>
    <w:rsid w:val="006004A0"/>
    <w:rsid w:val="00600D38"/>
    <w:rsid w:val="00601005"/>
    <w:rsid w:val="006017DF"/>
    <w:rsid w:val="0060190B"/>
    <w:rsid w:val="00601E76"/>
    <w:rsid w:val="006028F8"/>
    <w:rsid w:val="00604452"/>
    <w:rsid w:val="0060479B"/>
    <w:rsid w:val="006061BB"/>
    <w:rsid w:val="0060659C"/>
    <w:rsid w:val="0060712B"/>
    <w:rsid w:val="00607AEF"/>
    <w:rsid w:val="00607FA2"/>
    <w:rsid w:val="00610B79"/>
    <w:rsid w:val="00611245"/>
    <w:rsid w:val="0061149B"/>
    <w:rsid w:val="00611A2D"/>
    <w:rsid w:val="00611D9C"/>
    <w:rsid w:val="00612457"/>
    <w:rsid w:val="00612557"/>
    <w:rsid w:val="006126E7"/>
    <w:rsid w:val="00613D18"/>
    <w:rsid w:val="00614066"/>
    <w:rsid w:val="00614836"/>
    <w:rsid w:val="0061585C"/>
    <w:rsid w:val="00615BA2"/>
    <w:rsid w:val="00615BD3"/>
    <w:rsid w:val="00615D96"/>
    <w:rsid w:val="00615E45"/>
    <w:rsid w:val="0061620D"/>
    <w:rsid w:val="006164FD"/>
    <w:rsid w:val="00616EBC"/>
    <w:rsid w:val="00617618"/>
    <w:rsid w:val="00617776"/>
    <w:rsid w:val="00617BC0"/>
    <w:rsid w:val="00622356"/>
    <w:rsid w:val="006228C6"/>
    <w:rsid w:val="0062394D"/>
    <w:rsid w:val="00623C97"/>
    <w:rsid w:val="006245B9"/>
    <w:rsid w:val="00625168"/>
    <w:rsid w:val="00625CC0"/>
    <w:rsid w:val="00625EF6"/>
    <w:rsid w:val="00625F22"/>
    <w:rsid w:val="0062639E"/>
    <w:rsid w:val="00627B1D"/>
    <w:rsid w:val="00627B71"/>
    <w:rsid w:val="00627D51"/>
    <w:rsid w:val="0063009A"/>
    <w:rsid w:val="006307A5"/>
    <w:rsid w:val="00630DD5"/>
    <w:rsid w:val="00630EFB"/>
    <w:rsid w:val="00631EAE"/>
    <w:rsid w:val="00632A9E"/>
    <w:rsid w:val="00632B3F"/>
    <w:rsid w:val="00633726"/>
    <w:rsid w:val="00633947"/>
    <w:rsid w:val="00635749"/>
    <w:rsid w:val="0063649C"/>
    <w:rsid w:val="00637DDD"/>
    <w:rsid w:val="0064043F"/>
    <w:rsid w:val="0064053A"/>
    <w:rsid w:val="00641E5B"/>
    <w:rsid w:val="0064422E"/>
    <w:rsid w:val="006445A9"/>
    <w:rsid w:val="0064476A"/>
    <w:rsid w:val="00645010"/>
    <w:rsid w:val="006462BA"/>
    <w:rsid w:val="00646318"/>
    <w:rsid w:val="00647789"/>
    <w:rsid w:val="00650683"/>
    <w:rsid w:val="00650720"/>
    <w:rsid w:val="0065171A"/>
    <w:rsid w:val="0065241C"/>
    <w:rsid w:val="0065251C"/>
    <w:rsid w:val="00653138"/>
    <w:rsid w:val="0065335C"/>
    <w:rsid w:val="006542BE"/>
    <w:rsid w:val="0065491D"/>
    <w:rsid w:val="00654AEE"/>
    <w:rsid w:val="00654E5B"/>
    <w:rsid w:val="006561DE"/>
    <w:rsid w:val="006566C1"/>
    <w:rsid w:val="00656DD6"/>
    <w:rsid w:val="00661BEB"/>
    <w:rsid w:val="00661D3D"/>
    <w:rsid w:val="0066271E"/>
    <w:rsid w:val="006628CB"/>
    <w:rsid w:val="00662981"/>
    <w:rsid w:val="00663197"/>
    <w:rsid w:val="006631C9"/>
    <w:rsid w:val="0066337B"/>
    <w:rsid w:val="00663DA3"/>
    <w:rsid w:val="006646B8"/>
    <w:rsid w:val="00664882"/>
    <w:rsid w:val="00665D54"/>
    <w:rsid w:val="00666A0B"/>
    <w:rsid w:val="00666A5C"/>
    <w:rsid w:val="00667D43"/>
    <w:rsid w:val="0067142B"/>
    <w:rsid w:val="00672410"/>
    <w:rsid w:val="00673428"/>
    <w:rsid w:val="006734F7"/>
    <w:rsid w:val="00673524"/>
    <w:rsid w:val="0067355F"/>
    <w:rsid w:val="006735A7"/>
    <w:rsid w:val="00675189"/>
    <w:rsid w:val="00675A93"/>
    <w:rsid w:val="006769BD"/>
    <w:rsid w:val="006779B6"/>
    <w:rsid w:val="00681027"/>
    <w:rsid w:val="00681DB5"/>
    <w:rsid w:val="0068396A"/>
    <w:rsid w:val="006843EE"/>
    <w:rsid w:val="006848E5"/>
    <w:rsid w:val="00684D15"/>
    <w:rsid w:val="00686C3A"/>
    <w:rsid w:val="0068718A"/>
    <w:rsid w:val="00687322"/>
    <w:rsid w:val="006879A7"/>
    <w:rsid w:val="00687DCA"/>
    <w:rsid w:val="00687EDC"/>
    <w:rsid w:val="00690386"/>
    <w:rsid w:val="006907C2"/>
    <w:rsid w:val="00691356"/>
    <w:rsid w:val="00692B13"/>
    <w:rsid w:val="00693568"/>
    <w:rsid w:val="00693E0D"/>
    <w:rsid w:val="0069462A"/>
    <w:rsid w:val="006952A9"/>
    <w:rsid w:val="0069562B"/>
    <w:rsid w:val="00695A17"/>
    <w:rsid w:val="00695ECD"/>
    <w:rsid w:val="00696819"/>
    <w:rsid w:val="006A13D6"/>
    <w:rsid w:val="006A2189"/>
    <w:rsid w:val="006A2FDF"/>
    <w:rsid w:val="006A3633"/>
    <w:rsid w:val="006A3F1F"/>
    <w:rsid w:val="006A421B"/>
    <w:rsid w:val="006A43EF"/>
    <w:rsid w:val="006A4409"/>
    <w:rsid w:val="006A4479"/>
    <w:rsid w:val="006A5395"/>
    <w:rsid w:val="006A5BEB"/>
    <w:rsid w:val="006A64D1"/>
    <w:rsid w:val="006A7221"/>
    <w:rsid w:val="006B0DE7"/>
    <w:rsid w:val="006B2D56"/>
    <w:rsid w:val="006B3356"/>
    <w:rsid w:val="006B3B41"/>
    <w:rsid w:val="006B4C9D"/>
    <w:rsid w:val="006B4D93"/>
    <w:rsid w:val="006B66E3"/>
    <w:rsid w:val="006B79E9"/>
    <w:rsid w:val="006B7D6A"/>
    <w:rsid w:val="006B7F4B"/>
    <w:rsid w:val="006C0299"/>
    <w:rsid w:val="006C06C0"/>
    <w:rsid w:val="006C0AB1"/>
    <w:rsid w:val="006C1A1F"/>
    <w:rsid w:val="006C2103"/>
    <w:rsid w:val="006C367F"/>
    <w:rsid w:val="006C3B90"/>
    <w:rsid w:val="006C579C"/>
    <w:rsid w:val="006C683D"/>
    <w:rsid w:val="006C73CE"/>
    <w:rsid w:val="006C7B4A"/>
    <w:rsid w:val="006D0F95"/>
    <w:rsid w:val="006D2EF6"/>
    <w:rsid w:val="006D30F0"/>
    <w:rsid w:val="006D3B1D"/>
    <w:rsid w:val="006D3E52"/>
    <w:rsid w:val="006D3F67"/>
    <w:rsid w:val="006D50CD"/>
    <w:rsid w:val="006D5C62"/>
    <w:rsid w:val="006D5CB4"/>
    <w:rsid w:val="006D615C"/>
    <w:rsid w:val="006D643E"/>
    <w:rsid w:val="006D7200"/>
    <w:rsid w:val="006D746B"/>
    <w:rsid w:val="006D7B47"/>
    <w:rsid w:val="006E14CE"/>
    <w:rsid w:val="006E1706"/>
    <w:rsid w:val="006E1E33"/>
    <w:rsid w:val="006E2058"/>
    <w:rsid w:val="006E29B0"/>
    <w:rsid w:val="006E2A3C"/>
    <w:rsid w:val="006E4326"/>
    <w:rsid w:val="006E5786"/>
    <w:rsid w:val="006E5E58"/>
    <w:rsid w:val="006E63D9"/>
    <w:rsid w:val="006E779F"/>
    <w:rsid w:val="006E7C32"/>
    <w:rsid w:val="006F0252"/>
    <w:rsid w:val="006F1365"/>
    <w:rsid w:val="006F1582"/>
    <w:rsid w:val="006F1B3D"/>
    <w:rsid w:val="006F24D1"/>
    <w:rsid w:val="006F2822"/>
    <w:rsid w:val="006F2C7F"/>
    <w:rsid w:val="006F38E3"/>
    <w:rsid w:val="006F3BD6"/>
    <w:rsid w:val="006F5506"/>
    <w:rsid w:val="006F5651"/>
    <w:rsid w:val="006F58C6"/>
    <w:rsid w:val="006F5FFF"/>
    <w:rsid w:val="006F7002"/>
    <w:rsid w:val="006F713F"/>
    <w:rsid w:val="006F7B7A"/>
    <w:rsid w:val="007001EC"/>
    <w:rsid w:val="00700958"/>
    <w:rsid w:val="00700E7B"/>
    <w:rsid w:val="00701D66"/>
    <w:rsid w:val="00702363"/>
    <w:rsid w:val="00702B44"/>
    <w:rsid w:val="00702B48"/>
    <w:rsid w:val="00702CDD"/>
    <w:rsid w:val="0070388E"/>
    <w:rsid w:val="00703A3F"/>
    <w:rsid w:val="00703D82"/>
    <w:rsid w:val="0070422B"/>
    <w:rsid w:val="007051B2"/>
    <w:rsid w:val="00705828"/>
    <w:rsid w:val="00707152"/>
    <w:rsid w:val="00707359"/>
    <w:rsid w:val="00707B8A"/>
    <w:rsid w:val="00707FD1"/>
    <w:rsid w:val="00710D03"/>
    <w:rsid w:val="00710FB2"/>
    <w:rsid w:val="0071262B"/>
    <w:rsid w:val="007128E9"/>
    <w:rsid w:val="0071300C"/>
    <w:rsid w:val="00714076"/>
    <w:rsid w:val="0071413E"/>
    <w:rsid w:val="00714B07"/>
    <w:rsid w:val="00714F00"/>
    <w:rsid w:val="00715AD5"/>
    <w:rsid w:val="00720244"/>
    <w:rsid w:val="00720611"/>
    <w:rsid w:val="00720979"/>
    <w:rsid w:val="00720EEC"/>
    <w:rsid w:val="00722326"/>
    <w:rsid w:val="007227A7"/>
    <w:rsid w:val="00723376"/>
    <w:rsid w:val="00723C99"/>
    <w:rsid w:val="007256C2"/>
    <w:rsid w:val="00727B18"/>
    <w:rsid w:val="0073334F"/>
    <w:rsid w:val="00733CD4"/>
    <w:rsid w:val="00735364"/>
    <w:rsid w:val="0073726C"/>
    <w:rsid w:val="007376A5"/>
    <w:rsid w:val="007414E9"/>
    <w:rsid w:val="00741984"/>
    <w:rsid w:val="0074257C"/>
    <w:rsid w:val="00742BBD"/>
    <w:rsid w:val="00742C81"/>
    <w:rsid w:val="00742CF0"/>
    <w:rsid w:val="00743949"/>
    <w:rsid w:val="00743C59"/>
    <w:rsid w:val="00744C98"/>
    <w:rsid w:val="007457D2"/>
    <w:rsid w:val="007460BD"/>
    <w:rsid w:val="007466D5"/>
    <w:rsid w:val="007475EE"/>
    <w:rsid w:val="00747740"/>
    <w:rsid w:val="00747CB5"/>
    <w:rsid w:val="00747E7F"/>
    <w:rsid w:val="0075015A"/>
    <w:rsid w:val="007504E0"/>
    <w:rsid w:val="007506A3"/>
    <w:rsid w:val="00751225"/>
    <w:rsid w:val="007514B6"/>
    <w:rsid w:val="0075337F"/>
    <w:rsid w:val="00753E27"/>
    <w:rsid w:val="00753FB7"/>
    <w:rsid w:val="00755063"/>
    <w:rsid w:val="0075545D"/>
    <w:rsid w:val="0075717C"/>
    <w:rsid w:val="007571F0"/>
    <w:rsid w:val="0075771E"/>
    <w:rsid w:val="007609FE"/>
    <w:rsid w:val="00760BF3"/>
    <w:rsid w:val="007614E3"/>
    <w:rsid w:val="00761E33"/>
    <w:rsid w:val="00762C38"/>
    <w:rsid w:val="00762C55"/>
    <w:rsid w:val="00762DAE"/>
    <w:rsid w:val="00763268"/>
    <w:rsid w:val="0076364C"/>
    <w:rsid w:val="00763AD8"/>
    <w:rsid w:val="00764370"/>
    <w:rsid w:val="00765692"/>
    <w:rsid w:val="00765A09"/>
    <w:rsid w:val="007669B8"/>
    <w:rsid w:val="00767A34"/>
    <w:rsid w:val="00767AF1"/>
    <w:rsid w:val="007718FB"/>
    <w:rsid w:val="0077235C"/>
    <w:rsid w:val="00772D5B"/>
    <w:rsid w:val="00772EFF"/>
    <w:rsid w:val="0077629B"/>
    <w:rsid w:val="00776680"/>
    <w:rsid w:val="007768D1"/>
    <w:rsid w:val="007769DD"/>
    <w:rsid w:val="0077758E"/>
    <w:rsid w:val="00777E81"/>
    <w:rsid w:val="00780C86"/>
    <w:rsid w:val="00780ECB"/>
    <w:rsid w:val="00782BA6"/>
    <w:rsid w:val="00782F3E"/>
    <w:rsid w:val="007852CF"/>
    <w:rsid w:val="00785460"/>
    <w:rsid w:val="00785632"/>
    <w:rsid w:val="00786925"/>
    <w:rsid w:val="00786E23"/>
    <w:rsid w:val="007872CD"/>
    <w:rsid w:val="007874CD"/>
    <w:rsid w:val="00787C43"/>
    <w:rsid w:val="00790100"/>
    <w:rsid w:val="007913AA"/>
    <w:rsid w:val="00793B39"/>
    <w:rsid w:val="007943E4"/>
    <w:rsid w:val="00795563"/>
    <w:rsid w:val="007960C7"/>
    <w:rsid w:val="00796A54"/>
    <w:rsid w:val="00796E59"/>
    <w:rsid w:val="00797D47"/>
    <w:rsid w:val="007A00B6"/>
    <w:rsid w:val="007A0605"/>
    <w:rsid w:val="007A0C3D"/>
    <w:rsid w:val="007A0D57"/>
    <w:rsid w:val="007A1309"/>
    <w:rsid w:val="007A3CAB"/>
    <w:rsid w:val="007A59EC"/>
    <w:rsid w:val="007A5B65"/>
    <w:rsid w:val="007B146C"/>
    <w:rsid w:val="007B2083"/>
    <w:rsid w:val="007B278A"/>
    <w:rsid w:val="007B3B39"/>
    <w:rsid w:val="007B4E38"/>
    <w:rsid w:val="007B50DC"/>
    <w:rsid w:val="007B6D6C"/>
    <w:rsid w:val="007C0729"/>
    <w:rsid w:val="007C1E34"/>
    <w:rsid w:val="007C2FF0"/>
    <w:rsid w:val="007C32AB"/>
    <w:rsid w:val="007C340B"/>
    <w:rsid w:val="007C3556"/>
    <w:rsid w:val="007C39E3"/>
    <w:rsid w:val="007C44CC"/>
    <w:rsid w:val="007C5AD9"/>
    <w:rsid w:val="007C64E2"/>
    <w:rsid w:val="007C740B"/>
    <w:rsid w:val="007C79DE"/>
    <w:rsid w:val="007C7FC5"/>
    <w:rsid w:val="007D1B67"/>
    <w:rsid w:val="007D210E"/>
    <w:rsid w:val="007D32EB"/>
    <w:rsid w:val="007D338A"/>
    <w:rsid w:val="007D4410"/>
    <w:rsid w:val="007D5235"/>
    <w:rsid w:val="007D5DCF"/>
    <w:rsid w:val="007D7798"/>
    <w:rsid w:val="007E00D5"/>
    <w:rsid w:val="007E1142"/>
    <w:rsid w:val="007E1763"/>
    <w:rsid w:val="007E1D61"/>
    <w:rsid w:val="007E26FB"/>
    <w:rsid w:val="007E29EB"/>
    <w:rsid w:val="007E4DAF"/>
    <w:rsid w:val="007E5852"/>
    <w:rsid w:val="007E61D4"/>
    <w:rsid w:val="007E624B"/>
    <w:rsid w:val="007E6D81"/>
    <w:rsid w:val="007E7D04"/>
    <w:rsid w:val="007E7FF8"/>
    <w:rsid w:val="007F014E"/>
    <w:rsid w:val="007F039D"/>
    <w:rsid w:val="007F1284"/>
    <w:rsid w:val="007F199E"/>
    <w:rsid w:val="007F276A"/>
    <w:rsid w:val="007F38A5"/>
    <w:rsid w:val="007F3F17"/>
    <w:rsid w:val="007F44FD"/>
    <w:rsid w:val="007F46A2"/>
    <w:rsid w:val="007F4729"/>
    <w:rsid w:val="007F4FFC"/>
    <w:rsid w:val="007F52A1"/>
    <w:rsid w:val="007F552F"/>
    <w:rsid w:val="007F7004"/>
    <w:rsid w:val="007F737A"/>
    <w:rsid w:val="007F74D4"/>
    <w:rsid w:val="007F7A5B"/>
    <w:rsid w:val="007F7B43"/>
    <w:rsid w:val="008016CE"/>
    <w:rsid w:val="008023EA"/>
    <w:rsid w:val="008028A9"/>
    <w:rsid w:val="00803320"/>
    <w:rsid w:val="0080395C"/>
    <w:rsid w:val="00803AF9"/>
    <w:rsid w:val="00803CD2"/>
    <w:rsid w:val="008041AD"/>
    <w:rsid w:val="00804CDA"/>
    <w:rsid w:val="00805114"/>
    <w:rsid w:val="00805333"/>
    <w:rsid w:val="00805414"/>
    <w:rsid w:val="00805541"/>
    <w:rsid w:val="00805945"/>
    <w:rsid w:val="00805A5A"/>
    <w:rsid w:val="00807DFC"/>
    <w:rsid w:val="00807E10"/>
    <w:rsid w:val="00810168"/>
    <w:rsid w:val="008101AF"/>
    <w:rsid w:val="00810416"/>
    <w:rsid w:val="00810D4D"/>
    <w:rsid w:val="00810DC6"/>
    <w:rsid w:val="00811564"/>
    <w:rsid w:val="00811594"/>
    <w:rsid w:val="00811BCD"/>
    <w:rsid w:val="00813125"/>
    <w:rsid w:val="008137EA"/>
    <w:rsid w:val="00813949"/>
    <w:rsid w:val="008142A2"/>
    <w:rsid w:val="008143AA"/>
    <w:rsid w:val="0081474E"/>
    <w:rsid w:val="0081494D"/>
    <w:rsid w:val="00814969"/>
    <w:rsid w:val="00814C79"/>
    <w:rsid w:val="00814D74"/>
    <w:rsid w:val="00814F3E"/>
    <w:rsid w:val="0081564B"/>
    <w:rsid w:val="00815AB9"/>
    <w:rsid w:val="008203E1"/>
    <w:rsid w:val="00820E25"/>
    <w:rsid w:val="0082298F"/>
    <w:rsid w:val="00822A76"/>
    <w:rsid w:val="00822E1B"/>
    <w:rsid w:val="00824272"/>
    <w:rsid w:val="00824988"/>
    <w:rsid w:val="008267FA"/>
    <w:rsid w:val="00827A20"/>
    <w:rsid w:val="00827CEE"/>
    <w:rsid w:val="008316F9"/>
    <w:rsid w:val="00831BA1"/>
    <w:rsid w:val="00831BA4"/>
    <w:rsid w:val="00832C36"/>
    <w:rsid w:val="00836778"/>
    <w:rsid w:val="0083678E"/>
    <w:rsid w:val="0084025C"/>
    <w:rsid w:val="008424F0"/>
    <w:rsid w:val="0084258A"/>
    <w:rsid w:val="00842614"/>
    <w:rsid w:val="00844601"/>
    <w:rsid w:val="008446D8"/>
    <w:rsid w:val="00844FA1"/>
    <w:rsid w:val="0084528C"/>
    <w:rsid w:val="00845D39"/>
    <w:rsid w:val="008461FA"/>
    <w:rsid w:val="00846918"/>
    <w:rsid w:val="00846B15"/>
    <w:rsid w:val="0084712C"/>
    <w:rsid w:val="00853157"/>
    <w:rsid w:val="00853E22"/>
    <w:rsid w:val="00854195"/>
    <w:rsid w:val="00854296"/>
    <w:rsid w:val="008550A3"/>
    <w:rsid w:val="0085535E"/>
    <w:rsid w:val="0085561C"/>
    <w:rsid w:val="00855A00"/>
    <w:rsid w:val="00860266"/>
    <w:rsid w:val="0086043F"/>
    <w:rsid w:val="00860FC0"/>
    <w:rsid w:val="00861E79"/>
    <w:rsid w:val="0086255A"/>
    <w:rsid w:val="00862954"/>
    <w:rsid w:val="0086370D"/>
    <w:rsid w:val="00863D5F"/>
    <w:rsid w:val="00864A22"/>
    <w:rsid w:val="00865674"/>
    <w:rsid w:val="008663D9"/>
    <w:rsid w:val="00866E6F"/>
    <w:rsid w:val="00867066"/>
    <w:rsid w:val="00867A91"/>
    <w:rsid w:val="0087084D"/>
    <w:rsid w:val="00872740"/>
    <w:rsid w:val="00873220"/>
    <w:rsid w:val="00873D04"/>
    <w:rsid w:val="0087424A"/>
    <w:rsid w:val="00875150"/>
    <w:rsid w:val="0087521D"/>
    <w:rsid w:val="00876361"/>
    <w:rsid w:val="0087686A"/>
    <w:rsid w:val="00877DB5"/>
    <w:rsid w:val="00880FCB"/>
    <w:rsid w:val="00881731"/>
    <w:rsid w:val="00882270"/>
    <w:rsid w:val="00882A5F"/>
    <w:rsid w:val="00882B6D"/>
    <w:rsid w:val="00882ED2"/>
    <w:rsid w:val="008834CB"/>
    <w:rsid w:val="00883779"/>
    <w:rsid w:val="008837B4"/>
    <w:rsid w:val="00886932"/>
    <w:rsid w:val="0088724B"/>
    <w:rsid w:val="00887989"/>
    <w:rsid w:val="008902A8"/>
    <w:rsid w:val="00890738"/>
    <w:rsid w:val="00893149"/>
    <w:rsid w:val="00895353"/>
    <w:rsid w:val="0089788C"/>
    <w:rsid w:val="008A02A0"/>
    <w:rsid w:val="008A07B3"/>
    <w:rsid w:val="008A0956"/>
    <w:rsid w:val="008A1F42"/>
    <w:rsid w:val="008A2F3E"/>
    <w:rsid w:val="008A307D"/>
    <w:rsid w:val="008A3211"/>
    <w:rsid w:val="008A6EAA"/>
    <w:rsid w:val="008A7630"/>
    <w:rsid w:val="008B0E30"/>
    <w:rsid w:val="008B1227"/>
    <w:rsid w:val="008B12D7"/>
    <w:rsid w:val="008B251E"/>
    <w:rsid w:val="008B42CC"/>
    <w:rsid w:val="008B47E3"/>
    <w:rsid w:val="008B494A"/>
    <w:rsid w:val="008B535D"/>
    <w:rsid w:val="008B5372"/>
    <w:rsid w:val="008B668F"/>
    <w:rsid w:val="008B697C"/>
    <w:rsid w:val="008B73ED"/>
    <w:rsid w:val="008B7EB2"/>
    <w:rsid w:val="008C0115"/>
    <w:rsid w:val="008C05BD"/>
    <w:rsid w:val="008C0DE8"/>
    <w:rsid w:val="008C0E44"/>
    <w:rsid w:val="008C0FEC"/>
    <w:rsid w:val="008C149D"/>
    <w:rsid w:val="008C1BA1"/>
    <w:rsid w:val="008C2BCB"/>
    <w:rsid w:val="008C30E4"/>
    <w:rsid w:val="008C31C8"/>
    <w:rsid w:val="008C4BF0"/>
    <w:rsid w:val="008C4DE3"/>
    <w:rsid w:val="008C4FD6"/>
    <w:rsid w:val="008C52B7"/>
    <w:rsid w:val="008C7A10"/>
    <w:rsid w:val="008C7B03"/>
    <w:rsid w:val="008C7CFB"/>
    <w:rsid w:val="008D002E"/>
    <w:rsid w:val="008D0036"/>
    <w:rsid w:val="008D0371"/>
    <w:rsid w:val="008D0836"/>
    <w:rsid w:val="008D0B8C"/>
    <w:rsid w:val="008D15B3"/>
    <w:rsid w:val="008D2192"/>
    <w:rsid w:val="008D3CF6"/>
    <w:rsid w:val="008D502C"/>
    <w:rsid w:val="008D59BE"/>
    <w:rsid w:val="008D6169"/>
    <w:rsid w:val="008D6748"/>
    <w:rsid w:val="008D68C3"/>
    <w:rsid w:val="008D710D"/>
    <w:rsid w:val="008E0B7C"/>
    <w:rsid w:val="008E10ED"/>
    <w:rsid w:val="008E171F"/>
    <w:rsid w:val="008E1881"/>
    <w:rsid w:val="008E27A5"/>
    <w:rsid w:val="008E2A04"/>
    <w:rsid w:val="008E3DFB"/>
    <w:rsid w:val="008E5EC8"/>
    <w:rsid w:val="008E6920"/>
    <w:rsid w:val="008F023E"/>
    <w:rsid w:val="008F0B08"/>
    <w:rsid w:val="008F11D0"/>
    <w:rsid w:val="008F14A6"/>
    <w:rsid w:val="008F16AD"/>
    <w:rsid w:val="008F1D18"/>
    <w:rsid w:val="008F3EA4"/>
    <w:rsid w:val="008F4F06"/>
    <w:rsid w:val="008F5852"/>
    <w:rsid w:val="008F5D68"/>
    <w:rsid w:val="008F6FB1"/>
    <w:rsid w:val="008F76EB"/>
    <w:rsid w:val="008F796D"/>
    <w:rsid w:val="008F7DF6"/>
    <w:rsid w:val="008F7EE9"/>
    <w:rsid w:val="00900552"/>
    <w:rsid w:val="00900641"/>
    <w:rsid w:val="0090171D"/>
    <w:rsid w:val="0090187A"/>
    <w:rsid w:val="00901AC1"/>
    <w:rsid w:val="009023EE"/>
    <w:rsid w:val="009024DB"/>
    <w:rsid w:val="00902A82"/>
    <w:rsid w:val="00903596"/>
    <w:rsid w:val="00903A05"/>
    <w:rsid w:val="00903AC1"/>
    <w:rsid w:val="00904041"/>
    <w:rsid w:val="00904050"/>
    <w:rsid w:val="009042F2"/>
    <w:rsid w:val="009055F4"/>
    <w:rsid w:val="0090734C"/>
    <w:rsid w:val="00907C2A"/>
    <w:rsid w:val="00910424"/>
    <w:rsid w:val="00910DE9"/>
    <w:rsid w:val="0091101E"/>
    <w:rsid w:val="00911222"/>
    <w:rsid w:val="0091138B"/>
    <w:rsid w:val="00911831"/>
    <w:rsid w:val="00911AE1"/>
    <w:rsid w:val="00912007"/>
    <w:rsid w:val="0091216F"/>
    <w:rsid w:val="00914095"/>
    <w:rsid w:val="009141BB"/>
    <w:rsid w:val="0091453A"/>
    <w:rsid w:val="009164D0"/>
    <w:rsid w:val="009165F1"/>
    <w:rsid w:val="00916616"/>
    <w:rsid w:val="00916EA5"/>
    <w:rsid w:val="0091710D"/>
    <w:rsid w:val="0091765B"/>
    <w:rsid w:val="00920583"/>
    <w:rsid w:val="00921570"/>
    <w:rsid w:val="009223D5"/>
    <w:rsid w:val="00922C18"/>
    <w:rsid w:val="0092305C"/>
    <w:rsid w:val="00923623"/>
    <w:rsid w:val="00923642"/>
    <w:rsid w:val="009246F0"/>
    <w:rsid w:val="009258A4"/>
    <w:rsid w:val="00926C6F"/>
    <w:rsid w:val="00931F5E"/>
    <w:rsid w:val="009335AB"/>
    <w:rsid w:val="00933705"/>
    <w:rsid w:val="00933E97"/>
    <w:rsid w:val="00935267"/>
    <w:rsid w:val="0093655D"/>
    <w:rsid w:val="00936D4C"/>
    <w:rsid w:val="00937695"/>
    <w:rsid w:val="009413B4"/>
    <w:rsid w:val="00941A1F"/>
    <w:rsid w:val="00941CE9"/>
    <w:rsid w:val="00941ED6"/>
    <w:rsid w:val="009426B5"/>
    <w:rsid w:val="0094369E"/>
    <w:rsid w:val="00943752"/>
    <w:rsid w:val="009455CD"/>
    <w:rsid w:val="00946138"/>
    <w:rsid w:val="009461D8"/>
    <w:rsid w:val="00946695"/>
    <w:rsid w:val="00946AD2"/>
    <w:rsid w:val="0095149E"/>
    <w:rsid w:val="00951AC0"/>
    <w:rsid w:val="00951D67"/>
    <w:rsid w:val="00952560"/>
    <w:rsid w:val="009534BB"/>
    <w:rsid w:val="00953DF2"/>
    <w:rsid w:val="00954A70"/>
    <w:rsid w:val="00955B40"/>
    <w:rsid w:val="00955CC1"/>
    <w:rsid w:val="00955ECA"/>
    <w:rsid w:val="00956422"/>
    <w:rsid w:val="00956F4E"/>
    <w:rsid w:val="009577C3"/>
    <w:rsid w:val="009578EB"/>
    <w:rsid w:val="00957B94"/>
    <w:rsid w:val="00957D71"/>
    <w:rsid w:val="00957DAB"/>
    <w:rsid w:val="009608FF"/>
    <w:rsid w:val="009614B4"/>
    <w:rsid w:val="009624D5"/>
    <w:rsid w:val="009626F8"/>
    <w:rsid w:val="00962DAD"/>
    <w:rsid w:val="00964E3E"/>
    <w:rsid w:val="009660CB"/>
    <w:rsid w:val="0096785F"/>
    <w:rsid w:val="00967A0C"/>
    <w:rsid w:val="00970A95"/>
    <w:rsid w:val="00971017"/>
    <w:rsid w:val="00972B45"/>
    <w:rsid w:val="00972FDA"/>
    <w:rsid w:val="00973ECC"/>
    <w:rsid w:val="00974D33"/>
    <w:rsid w:val="009750E3"/>
    <w:rsid w:val="009759DC"/>
    <w:rsid w:val="00975AC8"/>
    <w:rsid w:val="00975FE8"/>
    <w:rsid w:val="00976610"/>
    <w:rsid w:val="009774D8"/>
    <w:rsid w:val="0098014B"/>
    <w:rsid w:val="0098065A"/>
    <w:rsid w:val="00981406"/>
    <w:rsid w:val="00981D39"/>
    <w:rsid w:val="00981E3B"/>
    <w:rsid w:val="0098207E"/>
    <w:rsid w:val="00983249"/>
    <w:rsid w:val="009837F3"/>
    <w:rsid w:val="0098396A"/>
    <w:rsid w:val="00983D5E"/>
    <w:rsid w:val="00984958"/>
    <w:rsid w:val="00984E36"/>
    <w:rsid w:val="00985862"/>
    <w:rsid w:val="0098626E"/>
    <w:rsid w:val="00986C93"/>
    <w:rsid w:val="00987F76"/>
    <w:rsid w:val="00990178"/>
    <w:rsid w:val="0099096A"/>
    <w:rsid w:val="009911A4"/>
    <w:rsid w:val="00991250"/>
    <w:rsid w:val="00991D25"/>
    <w:rsid w:val="00993A99"/>
    <w:rsid w:val="00993C65"/>
    <w:rsid w:val="009941AE"/>
    <w:rsid w:val="009956F7"/>
    <w:rsid w:val="009977B4"/>
    <w:rsid w:val="009A07D7"/>
    <w:rsid w:val="009A0BFA"/>
    <w:rsid w:val="009A0C62"/>
    <w:rsid w:val="009A18E0"/>
    <w:rsid w:val="009A2A2C"/>
    <w:rsid w:val="009A4331"/>
    <w:rsid w:val="009A46EA"/>
    <w:rsid w:val="009A51B9"/>
    <w:rsid w:val="009A5538"/>
    <w:rsid w:val="009A68E5"/>
    <w:rsid w:val="009A6A02"/>
    <w:rsid w:val="009A7D9B"/>
    <w:rsid w:val="009B04A1"/>
    <w:rsid w:val="009B095C"/>
    <w:rsid w:val="009B0C1B"/>
    <w:rsid w:val="009B0C7B"/>
    <w:rsid w:val="009B0D30"/>
    <w:rsid w:val="009B1495"/>
    <w:rsid w:val="009B1B40"/>
    <w:rsid w:val="009B1C5E"/>
    <w:rsid w:val="009B20FE"/>
    <w:rsid w:val="009B2529"/>
    <w:rsid w:val="009B2C85"/>
    <w:rsid w:val="009B30EA"/>
    <w:rsid w:val="009B4F4B"/>
    <w:rsid w:val="009B6013"/>
    <w:rsid w:val="009B6718"/>
    <w:rsid w:val="009B78D1"/>
    <w:rsid w:val="009B79D9"/>
    <w:rsid w:val="009B7C42"/>
    <w:rsid w:val="009C1E34"/>
    <w:rsid w:val="009C305C"/>
    <w:rsid w:val="009C3C00"/>
    <w:rsid w:val="009C3EB8"/>
    <w:rsid w:val="009C4085"/>
    <w:rsid w:val="009C4875"/>
    <w:rsid w:val="009C6392"/>
    <w:rsid w:val="009C7F25"/>
    <w:rsid w:val="009D0027"/>
    <w:rsid w:val="009D0312"/>
    <w:rsid w:val="009D201B"/>
    <w:rsid w:val="009D22F3"/>
    <w:rsid w:val="009D2EB8"/>
    <w:rsid w:val="009D3810"/>
    <w:rsid w:val="009D3FE5"/>
    <w:rsid w:val="009D4887"/>
    <w:rsid w:val="009D4F0E"/>
    <w:rsid w:val="009D6630"/>
    <w:rsid w:val="009D6883"/>
    <w:rsid w:val="009D6C4B"/>
    <w:rsid w:val="009D7101"/>
    <w:rsid w:val="009D7733"/>
    <w:rsid w:val="009D77FB"/>
    <w:rsid w:val="009E0A1B"/>
    <w:rsid w:val="009E10D6"/>
    <w:rsid w:val="009E3C94"/>
    <w:rsid w:val="009E3CEC"/>
    <w:rsid w:val="009E439D"/>
    <w:rsid w:val="009E4ECD"/>
    <w:rsid w:val="009E5537"/>
    <w:rsid w:val="009E555B"/>
    <w:rsid w:val="009E57DD"/>
    <w:rsid w:val="009E5D16"/>
    <w:rsid w:val="009E6289"/>
    <w:rsid w:val="009E6E17"/>
    <w:rsid w:val="009E7967"/>
    <w:rsid w:val="009E7DA4"/>
    <w:rsid w:val="009E7F86"/>
    <w:rsid w:val="009F0C4A"/>
    <w:rsid w:val="009F1C1B"/>
    <w:rsid w:val="009F26C5"/>
    <w:rsid w:val="009F29F8"/>
    <w:rsid w:val="009F2CCE"/>
    <w:rsid w:val="009F33CD"/>
    <w:rsid w:val="009F370F"/>
    <w:rsid w:val="009F5289"/>
    <w:rsid w:val="009F52EF"/>
    <w:rsid w:val="009F6443"/>
    <w:rsid w:val="009F6688"/>
    <w:rsid w:val="009F6AD7"/>
    <w:rsid w:val="009F6DC7"/>
    <w:rsid w:val="009F7AAF"/>
    <w:rsid w:val="009F7E57"/>
    <w:rsid w:val="009F7F40"/>
    <w:rsid w:val="00A00855"/>
    <w:rsid w:val="00A00C12"/>
    <w:rsid w:val="00A01658"/>
    <w:rsid w:val="00A01B35"/>
    <w:rsid w:val="00A02DC9"/>
    <w:rsid w:val="00A035E1"/>
    <w:rsid w:val="00A03740"/>
    <w:rsid w:val="00A04212"/>
    <w:rsid w:val="00A04494"/>
    <w:rsid w:val="00A058B3"/>
    <w:rsid w:val="00A05ECE"/>
    <w:rsid w:val="00A05FB9"/>
    <w:rsid w:val="00A07B71"/>
    <w:rsid w:val="00A07EBC"/>
    <w:rsid w:val="00A1121F"/>
    <w:rsid w:val="00A11625"/>
    <w:rsid w:val="00A11D20"/>
    <w:rsid w:val="00A11F22"/>
    <w:rsid w:val="00A121F2"/>
    <w:rsid w:val="00A1235F"/>
    <w:rsid w:val="00A123CB"/>
    <w:rsid w:val="00A12596"/>
    <w:rsid w:val="00A12B65"/>
    <w:rsid w:val="00A1320C"/>
    <w:rsid w:val="00A139D3"/>
    <w:rsid w:val="00A159E1"/>
    <w:rsid w:val="00A17311"/>
    <w:rsid w:val="00A218FD"/>
    <w:rsid w:val="00A22A76"/>
    <w:rsid w:val="00A22F72"/>
    <w:rsid w:val="00A232FF"/>
    <w:rsid w:val="00A23698"/>
    <w:rsid w:val="00A244C7"/>
    <w:rsid w:val="00A25912"/>
    <w:rsid w:val="00A26942"/>
    <w:rsid w:val="00A26E07"/>
    <w:rsid w:val="00A277AE"/>
    <w:rsid w:val="00A27AF7"/>
    <w:rsid w:val="00A306F9"/>
    <w:rsid w:val="00A336BA"/>
    <w:rsid w:val="00A3381B"/>
    <w:rsid w:val="00A3487C"/>
    <w:rsid w:val="00A34C6C"/>
    <w:rsid w:val="00A34E11"/>
    <w:rsid w:val="00A34FB7"/>
    <w:rsid w:val="00A351EB"/>
    <w:rsid w:val="00A3611B"/>
    <w:rsid w:val="00A36744"/>
    <w:rsid w:val="00A36844"/>
    <w:rsid w:val="00A37257"/>
    <w:rsid w:val="00A375AF"/>
    <w:rsid w:val="00A375C9"/>
    <w:rsid w:val="00A405EF"/>
    <w:rsid w:val="00A413E6"/>
    <w:rsid w:val="00A41999"/>
    <w:rsid w:val="00A419E9"/>
    <w:rsid w:val="00A42E1A"/>
    <w:rsid w:val="00A42EFB"/>
    <w:rsid w:val="00A43C01"/>
    <w:rsid w:val="00A44093"/>
    <w:rsid w:val="00A45CEC"/>
    <w:rsid w:val="00A46BF3"/>
    <w:rsid w:val="00A46E9D"/>
    <w:rsid w:val="00A47F17"/>
    <w:rsid w:val="00A505AD"/>
    <w:rsid w:val="00A5138F"/>
    <w:rsid w:val="00A5167B"/>
    <w:rsid w:val="00A52C2D"/>
    <w:rsid w:val="00A52F00"/>
    <w:rsid w:val="00A53C09"/>
    <w:rsid w:val="00A5664E"/>
    <w:rsid w:val="00A57893"/>
    <w:rsid w:val="00A601F2"/>
    <w:rsid w:val="00A6051F"/>
    <w:rsid w:val="00A60BDA"/>
    <w:rsid w:val="00A60FE0"/>
    <w:rsid w:val="00A619AD"/>
    <w:rsid w:val="00A6277E"/>
    <w:rsid w:val="00A636CE"/>
    <w:rsid w:val="00A63AC4"/>
    <w:rsid w:val="00A63F6B"/>
    <w:rsid w:val="00A65798"/>
    <w:rsid w:val="00A66EAD"/>
    <w:rsid w:val="00A670F5"/>
    <w:rsid w:val="00A70035"/>
    <w:rsid w:val="00A70C76"/>
    <w:rsid w:val="00A7114C"/>
    <w:rsid w:val="00A71465"/>
    <w:rsid w:val="00A71474"/>
    <w:rsid w:val="00A723CB"/>
    <w:rsid w:val="00A7360C"/>
    <w:rsid w:val="00A7368F"/>
    <w:rsid w:val="00A73793"/>
    <w:rsid w:val="00A7445C"/>
    <w:rsid w:val="00A74579"/>
    <w:rsid w:val="00A74C24"/>
    <w:rsid w:val="00A74E50"/>
    <w:rsid w:val="00A757F0"/>
    <w:rsid w:val="00A76140"/>
    <w:rsid w:val="00A765B3"/>
    <w:rsid w:val="00A768D5"/>
    <w:rsid w:val="00A8015A"/>
    <w:rsid w:val="00A80609"/>
    <w:rsid w:val="00A820F5"/>
    <w:rsid w:val="00A82235"/>
    <w:rsid w:val="00A82F78"/>
    <w:rsid w:val="00A86496"/>
    <w:rsid w:val="00A8658C"/>
    <w:rsid w:val="00A87C58"/>
    <w:rsid w:val="00A87DBE"/>
    <w:rsid w:val="00A87E57"/>
    <w:rsid w:val="00A9036C"/>
    <w:rsid w:val="00A9160D"/>
    <w:rsid w:val="00A949BC"/>
    <w:rsid w:val="00A94AF0"/>
    <w:rsid w:val="00A94E7A"/>
    <w:rsid w:val="00A95E7C"/>
    <w:rsid w:val="00A967B9"/>
    <w:rsid w:val="00AA0326"/>
    <w:rsid w:val="00AA0736"/>
    <w:rsid w:val="00AA0A89"/>
    <w:rsid w:val="00AA0D53"/>
    <w:rsid w:val="00AA128F"/>
    <w:rsid w:val="00AA1B11"/>
    <w:rsid w:val="00AA2648"/>
    <w:rsid w:val="00AA2BC5"/>
    <w:rsid w:val="00AA2C0D"/>
    <w:rsid w:val="00AA3BEE"/>
    <w:rsid w:val="00AA40EF"/>
    <w:rsid w:val="00AA5F42"/>
    <w:rsid w:val="00AA6230"/>
    <w:rsid w:val="00AA77D9"/>
    <w:rsid w:val="00AA7BFF"/>
    <w:rsid w:val="00AA7C8E"/>
    <w:rsid w:val="00AA7EEC"/>
    <w:rsid w:val="00AA7F90"/>
    <w:rsid w:val="00AB0746"/>
    <w:rsid w:val="00AB0F11"/>
    <w:rsid w:val="00AB19CA"/>
    <w:rsid w:val="00AB2C25"/>
    <w:rsid w:val="00AB34CF"/>
    <w:rsid w:val="00AB41CB"/>
    <w:rsid w:val="00AB4251"/>
    <w:rsid w:val="00AB4558"/>
    <w:rsid w:val="00AB4A23"/>
    <w:rsid w:val="00AB4D6B"/>
    <w:rsid w:val="00AB52C2"/>
    <w:rsid w:val="00AB6E21"/>
    <w:rsid w:val="00AB7551"/>
    <w:rsid w:val="00AB7C51"/>
    <w:rsid w:val="00AB7C59"/>
    <w:rsid w:val="00AC01C8"/>
    <w:rsid w:val="00AC1F93"/>
    <w:rsid w:val="00AC229C"/>
    <w:rsid w:val="00AC38B0"/>
    <w:rsid w:val="00AC40AD"/>
    <w:rsid w:val="00AC417C"/>
    <w:rsid w:val="00AC471F"/>
    <w:rsid w:val="00AC506C"/>
    <w:rsid w:val="00AC5953"/>
    <w:rsid w:val="00AC59BA"/>
    <w:rsid w:val="00AC5E1E"/>
    <w:rsid w:val="00AC639D"/>
    <w:rsid w:val="00AC679A"/>
    <w:rsid w:val="00AC6D17"/>
    <w:rsid w:val="00AC6D55"/>
    <w:rsid w:val="00AC700C"/>
    <w:rsid w:val="00AC7450"/>
    <w:rsid w:val="00AC745C"/>
    <w:rsid w:val="00AD1905"/>
    <w:rsid w:val="00AD41BB"/>
    <w:rsid w:val="00AD4ECB"/>
    <w:rsid w:val="00AD54D5"/>
    <w:rsid w:val="00AD6276"/>
    <w:rsid w:val="00AD701D"/>
    <w:rsid w:val="00AE06DC"/>
    <w:rsid w:val="00AE0D6F"/>
    <w:rsid w:val="00AE1195"/>
    <w:rsid w:val="00AE184F"/>
    <w:rsid w:val="00AE1E3D"/>
    <w:rsid w:val="00AE2447"/>
    <w:rsid w:val="00AE29E2"/>
    <w:rsid w:val="00AE3FDE"/>
    <w:rsid w:val="00AE4734"/>
    <w:rsid w:val="00AE4BF0"/>
    <w:rsid w:val="00AE4C73"/>
    <w:rsid w:val="00AE4DAC"/>
    <w:rsid w:val="00AE50E2"/>
    <w:rsid w:val="00AE5AD2"/>
    <w:rsid w:val="00AE6F4D"/>
    <w:rsid w:val="00AF059C"/>
    <w:rsid w:val="00AF2841"/>
    <w:rsid w:val="00AF35B7"/>
    <w:rsid w:val="00AF3869"/>
    <w:rsid w:val="00AF4100"/>
    <w:rsid w:val="00AF63E1"/>
    <w:rsid w:val="00B001FC"/>
    <w:rsid w:val="00B0080A"/>
    <w:rsid w:val="00B01AD9"/>
    <w:rsid w:val="00B01CF0"/>
    <w:rsid w:val="00B01DB8"/>
    <w:rsid w:val="00B02536"/>
    <w:rsid w:val="00B02C84"/>
    <w:rsid w:val="00B043B8"/>
    <w:rsid w:val="00B05877"/>
    <w:rsid w:val="00B06304"/>
    <w:rsid w:val="00B06652"/>
    <w:rsid w:val="00B06BE1"/>
    <w:rsid w:val="00B07013"/>
    <w:rsid w:val="00B074F7"/>
    <w:rsid w:val="00B10D21"/>
    <w:rsid w:val="00B10EE5"/>
    <w:rsid w:val="00B1263E"/>
    <w:rsid w:val="00B13D21"/>
    <w:rsid w:val="00B14C25"/>
    <w:rsid w:val="00B16F89"/>
    <w:rsid w:val="00B17543"/>
    <w:rsid w:val="00B17F82"/>
    <w:rsid w:val="00B2027B"/>
    <w:rsid w:val="00B21464"/>
    <w:rsid w:val="00B222BA"/>
    <w:rsid w:val="00B224A7"/>
    <w:rsid w:val="00B22940"/>
    <w:rsid w:val="00B22CA4"/>
    <w:rsid w:val="00B23163"/>
    <w:rsid w:val="00B305BF"/>
    <w:rsid w:val="00B30961"/>
    <w:rsid w:val="00B30AB5"/>
    <w:rsid w:val="00B31D44"/>
    <w:rsid w:val="00B32AE7"/>
    <w:rsid w:val="00B34111"/>
    <w:rsid w:val="00B344CB"/>
    <w:rsid w:val="00B34CB6"/>
    <w:rsid w:val="00B34D6C"/>
    <w:rsid w:val="00B34F02"/>
    <w:rsid w:val="00B35921"/>
    <w:rsid w:val="00B35AEB"/>
    <w:rsid w:val="00B36041"/>
    <w:rsid w:val="00B36846"/>
    <w:rsid w:val="00B3695D"/>
    <w:rsid w:val="00B36CF7"/>
    <w:rsid w:val="00B40548"/>
    <w:rsid w:val="00B416C2"/>
    <w:rsid w:val="00B43178"/>
    <w:rsid w:val="00B43556"/>
    <w:rsid w:val="00B43CBE"/>
    <w:rsid w:val="00B43F20"/>
    <w:rsid w:val="00B44EAC"/>
    <w:rsid w:val="00B4522C"/>
    <w:rsid w:val="00B45604"/>
    <w:rsid w:val="00B45D1C"/>
    <w:rsid w:val="00B46F33"/>
    <w:rsid w:val="00B47146"/>
    <w:rsid w:val="00B47155"/>
    <w:rsid w:val="00B5146E"/>
    <w:rsid w:val="00B516AB"/>
    <w:rsid w:val="00B519BA"/>
    <w:rsid w:val="00B51BB0"/>
    <w:rsid w:val="00B52107"/>
    <w:rsid w:val="00B52DBF"/>
    <w:rsid w:val="00B535D7"/>
    <w:rsid w:val="00B5456B"/>
    <w:rsid w:val="00B54BEF"/>
    <w:rsid w:val="00B57D43"/>
    <w:rsid w:val="00B61F9C"/>
    <w:rsid w:val="00B62188"/>
    <w:rsid w:val="00B62BB4"/>
    <w:rsid w:val="00B62E8E"/>
    <w:rsid w:val="00B63016"/>
    <w:rsid w:val="00B631B7"/>
    <w:rsid w:val="00B63A18"/>
    <w:rsid w:val="00B6660C"/>
    <w:rsid w:val="00B668AA"/>
    <w:rsid w:val="00B66EA5"/>
    <w:rsid w:val="00B67C48"/>
    <w:rsid w:val="00B70547"/>
    <w:rsid w:val="00B71675"/>
    <w:rsid w:val="00B71D4C"/>
    <w:rsid w:val="00B71DAD"/>
    <w:rsid w:val="00B71DB3"/>
    <w:rsid w:val="00B72F95"/>
    <w:rsid w:val="00B730E9"/>
    <w:rsid w:val="00B732DE"/>
    <w:rsid w:val="00B732EA"/>
    <w:rsid w:val="00B741B8"/>
    <w:rsid w:val="00B752EA"/>
    <w:rsid w:val="00B759E9"/>
    <w:rsid w:val="00B75E3B"/>
    <w:rsid w:val="00B7658E"/>
    <w:rsid w:val="00B77188"/>
    <w:rsid w:val="00B77B59"/>
    <w:rsid w:val="00B80F30"/>
    <w:rsid w:val="00B81570"/>
    <w:rsid w:val="00B83275"/>
    <w:rsid w:val="00B842E9"/>
    <w:rsid w:val="00B852CF"/>
    <w:rsid w:val="00B85E4F"/>
    <w:rsid w:val="00B870F2"/>
    <w:rsid w:val="00B87BEB"/>
    <w:rsid w:val="00B91DF7"/>
    <w:rsid w:val="00B9284E"/>
    <w:rsid w:val="00B934FA"/>
    <w:rsid w:val="00B942C6"/>
    <w:rsid w:val="00B94B66"/>
    <w:rsid w:val="00B94D2B"/>
    <w:rsid w:val="00B95613"/>
    <w:rsid w:val="00B959F3"/>
    <w:rsid w:val="00B95B86"/>
    <w:rsid w:val="00B95BFB"/>
    <w:rsid w:val="00B95CE4"/>
    <w:rsid w:val="00B96E04"/>
    <w:rsid w:val="00B96E48"/>
    <w:rsid w:val="00BA0060"/>
    <w:rsid w:val="00BA00F1"/>
    <w:rsid w:val="00BA2271"/>
    <w:rsid w:val="00BA26B1"/>
    <w:rsid w:val="00BA3079"/>
    <w:rsid w:val="00BA39FC"/>
    <w:rsid w:val="00BA3F63"/>
    <w:rsid w:val="00BA51E9"/>
    <w:rsid w:val="00BA54ED"/>
    <w:rsid w:val="00BA56D1"/>
    <w:rsid w:val="00BA639C"/>
    <w:rsid w:val="00BA65E6"/>
    <w:rsid w:val="00BA708A"/>
    <w:rsid w:val="00BB1991"/>
    <w:rsid w:val="00BB3164"/>
    <w:rsid w:val="00BB3C9B"/>
    <w:rsid w:val="00BB4E1B"/>
    <w:rsid w:val="00BB7809"/>
    <w:rsid w:val="00BB7A5F"/>
    <w:rsid w:val="00BC08CF"/>
    <w:rsid w:val="00BC11EB"/>
    <w:rsid w:val="00BC27D0"/>
    <w:rsid w:val="00BC3786"/>
    <w:rsid w:val="00BC3B82"/>
    <w:rsid w:val="00BC4226"/>
    <w:rsid w:val="00BC4C66"/>
    <w:rsid w:val="00BC67C7"/>
    <w:rsid w:val="00BC7483"/>
    <w:rsid w:val="00BD0549"/>
    <w:rsid w:val="00BD0F12"/>
    <w:rsid w:val="00BD188D"/>
    <w:rsid w:val="00BD1E30"/>
    <w:rsid w:val="00BD2228"/>
    <w:rsid w:val="00BD245F"/>
    <w:rsid w:val="00BD298A"/>
    <w:rsid w:val="00BD2A1D"/>
    <w:rsid w:val="00BD2B5A"/>
    <w:rsid w:val="00BD3598"/>
    <w:rsid w:val="00BD3D04"/>
    <w:rsid w:val="00BD4924"/>
    <w:rsid w:val="00BD4F8F"/>
    <w:rsid w:val="00BD5508"/>
    <w:rsid w:val="00BD7409"/>
    <w:rsid w:val="00BE0E12"/>
    <w:rsid w:val="00BE102E"/>
    <w:rsid w:val="00BE12FE"/>
    <w:rsid w:val="00BE147F"/>
    <w:rsid w:val="00BE14E9"/>
    <w:rsid w:val="00BE2272"/>
    <w:rsid w:val="00BE2D7A"/>
    <w:rsid w:val="00BE39D0"/>
    <w:rsid w:val="00BE3BBB"/>
    <w:rsid w:val="00BE4306"/>
    <w:rsid w:val="00BE4FDE"/>
    <w:rsid w:val="00BE638F"/>
    <w:rsid w:val="00BE66D9"/>
    <w:rsid w:val="00BE66F0"/>
    <w:rsid w:val="00BE68D1"/>
    <w:rsid w:val="00BE6A21"/>
    <w:rsid w:val="00BF08AF"/>
    <w:rsid w:val="00BF0DD3"/>
    <w:rsid w:val="00BF157B"/>
    <w:rsid w:val="00BF1914"/>
    <w:rsid w:val="00BF1AA2"/>
    <w:rsid w:val="00BF3031"/>
    <w:rsid w:val="00BF38FD"/>
    <w:rsid w:val="00BF4AAE"/>
    <w:rsid w:val="00BF4AE9"/>
    <w:rsid w:val="00BF4BA8"/>
    <w:rsid w:val="00BF4F30"/>
    <w:rsid w:val="00BF58DE"/>
    <w:rsid w:val="00BF618B"/>
    <w:rsid w:val="00BF76CE"/>
    <w:rsid w:val="00C005D7"/>
    <w:rsid w:val="00C01804"/>
    <w:rsid w:val="00C01D0F"/>
    <w:rsid w:val="00C01F93"/>
    <w:rsid w:val="00C02A63"/>
    <w:rsid w:val="00C02B02"/>
    <w:rsid w:val="00C0557C"/>
    <w:rsid w:val="00C06584"/>
    <w:rsid w:val="00C07BF9"/>
    <w:rsid w:val="00C07CCB"/>
    <w:rsid w:val="00C103F9"/>
    <w:rsid w:val="00C105A9"/>
    <w:rsid w:val="00C1196E"/>
    <w:rsid w:val="00C13155"/>
    <w:rsid w:val="00C13447"/>
    <w:rsid w:val="00C13B3A"/>
    <w:rsid w:val="00C14EC8"/>
    <w:rsid w:val="00C15DF5"/>
    <w:rsid w:val="00C16314"/>
    <w:rsid w:val="00C212AA"/>
    <w:rsid w:val="00C22B62"/>
    <w:rsid w:val="00C23136"/>
    <w:rsid w:val="00C25938"/>
    <w:rsid w:val="00C26717"/>
    <w:rsid w:val="00C275B8"/>
    <w:rsid w:val="00C27928"/>
    <w:rsid w:val="00C303C0"/>
    <w:rsid w:val="00C31981"/>
    <w:rsid w:val="00C31C2F"/>
    <w:rsid w:val="00C3307E"/>
    <w:rsid w:val="00C33DCC"/>
    <w:rsid w:val="00C33FF9"/>
    <w:rsid w:val="00C34751"/>
    <w:rsid w:val="00C35E9A"/>
    <w:rsid w:val="00C369DA"/>
    <w:rsid w:val="00C370BD"/>
    <w:rsid w:val="00C3731F"/>
    <w:rsid w:val="00C37410"/>
    <w:rsid w:val="00C37CB2"/>
    <w:rsid w:val="00C403D9"/>
    <w:rsid w:val="00C4049F"/>
    <w:rsid w:val="00C411F9"/>
    <w:rsid w:val="00C421EA"/>
    <w:rsid w:val="00C422EF"/>
    <w:rsid w:val="00C42981"/>
    <w:rsid w:val="00C4331C"/>
    <w:rsid w:val="00C4677B"/>
    <w:rsid w:val="00C46E8F"/>
    <w:rsid w:val="00C47202"/>
    <w:rsid w:val="00C47748"/>
    <w:rsid w:val="00C504D7"/>
    <w:rsid w:val="00C506FD"/>
    <w:rsid w:val="00C50F3D"/>
    <w:rsid w:val="00C510AC"/>
    <w:rsid w:val="00C51C61"/>
    <w:rsid w:val="00C52156"/>
    <w:rsid w:val="00C54475"/>
    <w:rsid w:val="00C55C73"/>
    <w:rsid w:val="00C56198"/>
    <w:rsid w:val="00C57861"/>
    <w:rsid w:val="00C57A7A"/>
    <w:rsid w:val="00C61CC2"/>
    <w:rsid w:val="00C629E9"/>
    <w:rsid w:val="00C633FB"/>
    <w:rsid w:val="00C63AAD"/>
    <w:rsid w:val="00C63B65"/>
    <w:rsid w:val="00C654FE"/>
    <w:rsid w:val="00C6606F"/>
    <w:rsid w:val="00C667D7"/>
    <w:rsid w:val="00C66C64"/>
    <w:rsid w:val="00C66D3D"/>
    <w:rsid w:val="00C66D63"/>
    <w:rsid w:val="00C66F7D"/>
    <w:rsid w:val="00C673FE"/>
    <w:rsid w:val="00C70BC1"/>
    <w:rsid w:val="00C71779"/>
    <w:rsid w:val="00C71A15"/>
    <w:rsid w:val="00C72488"/>
    <w:rsid w:val="00C73654"/>
    <w:rsid w:val="00C73934"/>
    <w:rsid w:val="00C74301"/>
    <w:rsid w:val="00C74A6E"/>
    <w:rsid w:val="00C74B75"/>
    <w:rsid w:val="00C753B9"/>
    <w:rsid w:val="00C757AB"/>
    <w:rsid w:val="00C759D6"/>
    <w:rsid w:val="00C766E4"/>
    <w:rsid w:val="00C76E13"/>
    <w:rsid w:val="00C800F1"/>
    <w:rsid w:val="00C80930"/>
    <w:rsid w:val="00C8147F"/>
    <w:rsid w:val="00C82221"/>
    <w:rsid w:val="00C83384"/>
    <w:rsid w:val="00C84B25"/>
    <w:rsid w:val="00C85E45"/>
    <w:rsid w:val="00C86A8B"/>
    <w:rsid w:val="00C86E29"/>
    <w:rsid w:val="00C90DA0"/>
    <w:rsid w:val="00C90EF1"/>
    <w:rsid w:val="00C92373"/>
    <w:rsid w:val="00C92562"/>
    <w:rsid w:val="00C92588"/>
    <w:rsid w:val="00C93B99"/>
    <w:rsid w:val="00C940EE"/>
    <w:rsid w:val="00C945A4"/>
    <w:rsid w:val="00C94B12"/>
    <w:rsid w:val="00C956D3"/>
    <w:rsid w:val="00C95E7F"/>
    <w:rsid w:val="00C95FC4"/>
    <w:rsid w:val="00C9683B"/>
    <w:rsid w:val="00C97719"/>
    <w:rsid w:val="00C97D29"/>
    <w:rsid w:val="00CA0E8A"/>
    <w:rsid w:val="00CA18B3"/>
    <w:rsid w:val="00CA1E8F"/>
    <w:rsid w:val="00CA248D"/>
    <w:rsid w:val="00CA4A6A"/>
    <w:rsid w:val="00CA785A"/>
    <w:rsid w:val="00CB0AB9"/>
    <w:rsid w:val="00CB1417"/>
    <w:rsid w:val="00CB1EE4"/>
    <w:rsid w:val="00CB2E81"/>
    <w:rsid w:val="00CB336A"/>
    <w:rsid w:val="00CB33E1"/>
    <w:rsid w:val="00CB4930"/>
    <w:rsid w:val="00CB76CF"/>
    <w:rsid w:val="00CB7864"/>
    <w:rsid w:val="00CB7EA2"/>
    <w:rsid w:val="00CC0083"/>
    <w:rsid w:val="00CC00E7"/>
    <w:rsid w:val="00CC0DD3"/>
    <w:rsid w:val="00CC1E30"/>
    <w:rsid w:val="00CC21EB"/>
    <w:rsid w:val="00CC3B62"/>
    <w:rsid w:val="00CC4301"/>
    <w:rsid w:val="00CC5372"/>
    <w:rsid w:val="00CC591E"/>
    <w:rsid w:val="00CC59B1"/>
    <w:rsid w:val="00CC69BE"/>
    <w:rsid w:val="00CC74E1"/>
    <w:rsid w:val="00CD0007"/>
    <w:rsid w:val="00CD0117"/>
    <w:rsid w:val="00CD1D3D"/>
    <w:rsid w:val="00CD4892"/>
    <w:rsid w:val="00CD56C4"/>
    <w:rsid w:val="00CD6950"/>
    <w:rsid w:val="00CD6B9A"/>
    <w:rsid w:val="00CD6CF5"/>
    <w:rsid w:val="00CD6D80"/>
    <w:rsid w:val="00CD77AD"/>
    <w:rsid w:val="00CD7E25"/>
    <w:rsid w:val="00CE0974"/>
    <w:rsid w:val="00CE0BA1"/>
    <w:rsid w:val="00CE22C1"/>
    <w:rsid w:val="00CE391E"/>
    <w:rsid w:val="00CE43F4"/>
    <w:rsid w:val="00CE47A9"/>
    <w:rsid w:val="00CE4FCF"/>
    <w:rsid w:val="00CE5248"/>
    <w:rsid w:val="00CE57DE"/>
    <w:rsid w:val="00CE585B"/>
    <w:rsid w:val="00CE626A"/>
    <w:rsid w:val="00CE68DD"/>
    <w:rsid w:val="00CE7227"/>
    <w:rsid w:val="00CE7805"/>
    <w:rsid w:val="00CF1DB5"/>
    <w:rsid w:val="00CF1F87"/>
    <w:rsid w:val="00CF356D"/>
    <w:rsid w:val="00CF38D8"/>
    <w:rsid w:val="00CF6131"/>
    <w:rsid w:val="00CF7942"/>
    <w:rsid w:val="00D00644"/>
    <w:rsid w:val="00D01791"/>
    <w:rsid w:val="00D01B71"/>
    <w:rsid w:val="00D0225C"/>
    <w:rsid w:val="00D02B97"/>
    <w:rsid w:val="00D0497B"/>
    <w:rsid w:val="00D049F1"/>
    <w:rsid w:val="00D05247"/>
    <w:rsid w:val="00D05F64"/>
    <w:rsid w:val="00D07280"/>
    <w:rsid w:val="00D1101E"/>
    <w:rsid w:val="00D1129B"/>
    <w:rsid w:val="00D12CEB"/>
    <w:rsid w:val="00D142B8"/>
    <w:rsid w:val="00D143E5"/>
    <w:rsid w:val="00D14DB3"/>
    <w:rsid w:val="00D1566E"/>
    <w:rsid w:val="00D15C6A"/>
    <w:rsid w:val="00D15D29"/>
    <w:rsid w:val="00D168F3"/>
    <w:rsid w:val="00D20581"/>
    <w:rsid w:val="00D224AA"/>
    <w:rsid w:val="00D234C8"/>
    <w:rsid w:val="00D234D3"/>
    <w:rsid w:val="00D24784"/>
    <w:rsid w:val="00D2513D"/>
    <w:rsid w:val="00D256B5"/>
    <w:rsid w:val="00D27089"/>
    <w:rsid w:val="00D2729F"/>
    <w:rsid w:val="00D27C41"/>
    <w:rsid w:val="00D301EB"/>
    <w:rsid w:val="00D30B2B"/>
    <w:rsid w:val="00D30E02"/>
    <w:rsid w:val="00D32BC2"/>
    <w:rsid w:val="00D32C64"/>
    <w:rsid w:val="00D32C69"/>
    <w:rsid w:val="00D32DE0"/>
    <w:rsid w:val="00D33CE1"/>
    <w:rsid w:val="00D33DCA"/>
    <w:rsid w:val="00D35AF5"/>
    <w:rsid w:val="00D35F94"/>
    <w:rsid w:val="00D371CF"/>
    <w:rsid w:val="00D37272"/>
    <w:rsid w:val="00D40434"/>
    <w:rsid w:val="00D4049C"/>
    <w:rsid w:val="00D40F82"/>
    <w:rsid w:val="00D4136D"/>
    <w:rsid w:val="00D41FCA"/>
    <w:rsid w:val="00D4233E"/>
    <w:rsid w:val="00D423D6"/>
    <w:rsid w:val="00D4276C"/>
    <w:rsid w:val="00D436A1"/>
    <w:rsid w:val="00D45B29"/>
    <w:rsid w:val="00D45C76"/>
    <w:rsid w:val="00D47AB3"/>
    <w:rsid w:val="00D50FA5"/>
    <w:rsid w:val="00D5154C"/>
    <w:rsid w:val="00D515D4"/>
    <w:rsid w:val="00D5199C"/>
    <w:rsid w:val="00D52A26"/>
    <w:rsid w:val="00D53ED8"/>
    <w:rsid w:val="00D54F28"/>
    <w:rsid w:val="00D56117"/>
    <w:rsid w:val="00D562EE"/>
    <w:rsid w:val="00D612E8"/>
    <w:rsid w:val="00D616BB"/>
    <w:rsid w:val="00D624AB"/>
    <w:rsid w:val="00D629F9"/>
    <w:rsid w:val="00D6311F"/>
    <w:rsid w:val="00D631BF"/>
    <w:rsid w:val="00D64896"/>
    <w:rsid w:val="00D64E81"/>
    <w:rsid w:val="00D65F37"/>
    <w:rsid w:val="00D665D1"/>
    <w:rsid w:val="00D70A99"/>
    <w:rsid w:val="00D71174"/>
    <w:rsid w:val="00D71BB7"/>
    <w:rsid w:val="00D727D2"/>
    <w:rsid w:val="00D732FB"/>
    <w:rsid w:val="00D73394"/>
    <w:rsid w:val="00D73A46"/>
    <w:rsid w:val="00D75558"/>
    <w:rsid w:val="00D75F7C"/>
    <w:rsid w:val="00D7628E"/>
    <w:rsid w:val="00D7661F"/>
    <w:rsid w:val="00D76CDB"/>
    <w:rsid w:val="00D80766"/>
    <w:rsid w:val="00D81869"/>
    <w:rsid w:val="00D82AB5"/>
    <w:rsid w:val="00D8328A"/>
    <w:rsid w:val="00D83564"/>
    <w:rsid w:val="00D83FDC"/>
    <w:rsid w:val="00D8580A"/>
    <w:rsid w:val="00D859D5"/>
    <w:rsid w:val="00D85AA5"/>
    <w:rsid w:val="00D86104"/>
    <w:rsid w:val="00D864CF"/>
    <w:rsid w:val="00D8697C"/>
    <w:rsid w:val="00D86DBE"/>
    <w:rsid w:val="00D87BB8"/>
    <w:rsid w:val="00D90025"/>
    <w:rsid w:val="00D90FDF"/>
    <w:rsid w:val="00D912E8"/>
    <w:rsid w:val="00D924D6"/>
    <w:rsid w:val="00D93CB0"/>
    <w:rsid w:val="00D957B3"/>
    <w:rsid w:val="00D97F77"/>
    <w:rsid w:val="00DA0287"/>
    <w:rsid w:val="00DA05B1"/>
    <w:rsid w:val="00DA1BAE"/>
    <w:rsid w:val="00DA22B2"/>
    <w:rsid w:val="00DA393F"/>
    <w:rsid w:val="00DA3A38"/>
    <w:rsid w:val="00DA3A50"/>
    <w:rsid w:val="00DA3E91"/>
    <w:rsid w:val="00DA4528"/>
    <w:rsid w:val="00DA517A"/>
    <w:rsid w:val="00DA6379"/>
    <w:rsid w:val="00DA6B65"/>
    <w:rsid w:val="00DB1252"/>
    <w:rsid w:val="00DB143A"/>
    <w:rsid w:val="00DB180D"/>
    <w:rsid w:val="00DB1B88"/>
    <w:rsid w:val="00DB2D68"/>
    <w:rsid w:val="00DB2E33"/>
    <w:rsid w:val="00DB3143"/>
    <w:rsid w:val="00DB341E"/>
    <w:rsid w:val="00DB34B2"/>
    <w:rsid w:val="00DB3641"/>
    <w:rsid w:val="00DB36D1"/>
    <w:rsid w:val="00DB3AFB"/>
    <w:rsid w:val="00DB3F7B"/>
    <w:rsid w:val="00DB42E0"/>
    <w:rsid w:val="00DB5D38"/>
    <w:rsid w:val="00DB5FEF"/>
    <w:rsid w:val="00DB67F7"/>
    <w:rsid w:val="00DB6F9D"/>
    <w:rsid w:val="00DC0240"/>
    <w:rsid w:val="00DC0716"/>
    <w:rsid w:val="00DC0A98"/>
    <w:rsid w:val="00DC159B"/>
    <w:rsid w:val="00DC1861"/>
    <w:rsid w:val="00DC1FD2"/>
    <w:rsid w:val="00DC22CE"/>
    <w:rsid w:val="00DC28CE"/>
    <w:rsid w:val="00DC2AE1"/>
    <w:rsid w:val="00DC2F6F"/>
    <w:rsid w:val="00DC3454"/>
    <w:rsid w:val="00DC3D0C"/>
    <w:rsid w:val="00DC4F68"/>
    <w:rsid w:val="00DC503C"/>
    <w:rsid w:val="00DC64F6"/>
    <w:rsid w:val="00DC6C7F"/>
    <w:rsid w:val="00DD01CD"/>
    <w:rsid w:val="00DD10DD"/>
    <w:rsid w:val="00DD1713"/>
    <w:rsid w:val="00DD1864"/>
    <w:rsid w:val="00DD1F29"/>
    <w:rsid w:val="00DD2697"/>
    <w:rsid w:val="00DD36BC"/>
    <w:rsid w:val="00DD4898"/>
    <w:rsid w:val="00DD4CD9"/>
    <w:rsid w:val="00DD55C3"/>
    <w:rsid w:val="00DD6125"/>
    <w:rsid w:val="00DD6B87"/>
    <w:rsid w:val="00DD6CFE"/>
    <w:rsid w:val="00DD6F94"/>
    <w:rsid w:val="00DD71F0"/>
    <w:rsid w:val="00DE021F"/>
    <w:rsid w:val="00DE030D"/>
    <w:rsid w:val="00DE090A"/>
    <w:rsid w:val="00DE1B39"/>
    <w:rsid w:val="00DE2B53"/>
    <w:rsid w:val="00DE365D"/>
    <w:rsid w:val="00DE4034"/>
    <w:rsid w:val="00DE4A1D"/>
    <w:rsid w:val="00DE4A94"/>
    <w:rsid w:val="00DE4F2A"/>
    <w:rsid w:val="00DE51B0"/>
    <w:rsid w:val="00DE52F1"/>
    <w:rsid w:val="00DE5835"/>
    <w:rsid w:val="00DE6FA6"/>
    <w:rsid w:val="00DE75DD"/>
    <w:rsid w:val="00DF15C8"/>
    <w:rsid w:val="00DF1D13"/>
    <w:rsid w:val="00DF2090"/>
    <w:rsid w:val="00DF3BE3"/>
    <w:rsid w:val="00DF3CC4"/>
    <w:rsid w:val="00DF4BE0"/>
    <w:rsid w:val="00DF60AE"/>
    <w:rsid w:val="00DF7C78"/>
    <w:rsid w:val="00E00D75"/>
    <w:rsid w:val="00E01F47"/>
    <w:rsid w:val="00E02AB7"/>
    <w:rsid w:val="00E04BE4"/>
    <w:rsid w:val="00E05D47"/>
    <w:rsid w:val="00E10016"/>
    <w:rsid w:val="00E102AB"/>
    <w:rsid w:val="00E1040E"/>
    <w:rsid w:val="00E10CA3"/>
    <w:rsid w:val="00E11029"/>
    <w:rsid w:val="00E113A1"/>
    <w:rsid w:val="00E11743"/>
    <w:rsid w:val="00E1178E"/>
    <w:rsid w:val="00E1245F"/>
    <w:rsid w:val="00E12D92"/>
    <w:rsid w:val="00E131B7"/>
    <w:rsid w:val="00E132AD"/>
    <w:rsid w:val="00E13A43"/>
    <w:rsid w:val="00E13A9F"/>
    <w:rsid w:val="00E14062"/>
    <w:rsid w:val="00E1577D"/>
    <w:rsid w:val="00E167E0"/>
    <w:rsid w:val="00E16AFB"/>
    <w:rsid w:val="00E2049C"/>
    <w:rsid w:val="00E207D6"/>
    <w:rsid w:val="00E21649"/>
    <w:rsid w:val="00E21A1E"/>
    <w:rsid w:val="00E22C6D"/>
    <w:rsid w:val="00E22E43"/>
    <w:rsid w:val="00E22E6E"/>
    <w:rsid w:val="00E2358F"/>
    <w:rsid w:val="00E247A6"/>
    <w:rsid w:val="00E24D94"/>
    <w:rsid w:val="00E255D3"/>
    <w:rsid w:val="00E25771"/>
    <w:rsid w:val="00E26D8E"/>
    <w:rsid w:val="00E26EFC"/>
    <w:rsid w:val="00E26F33"/>
    <w:rsid w:val="00E27898"/>
    <w:rsid w:val="00E300C8"/>
    <w:rsid w:val="00E3121B"/>
    <w:rsid w:val="00E31909"/>
    <w:rsid w:val="00E32EB2"/>
    <w:rsid w:val="00E34E74"/>
    <w:rsid w:val="00E356F3"/>
    <w:rsid w:val="00E35868"/>
    <w:rsid w:val="00E35CCF"/>
    <w:rsid w:val="00E35CF9"/>
    <w:rsid w:val="00E36332"/>
    <w:rsid w:val="00E36E0B"/>
    <w:rsid w:val="00E377C3"/>
    <w:rsid w:val="00E40007"/>
    <w:rsid w:val="00E40318"/>
    <w:rsid w:val="00E4106F"/>
    <w:rsid w:val="00E423D7"/>
    <w:rsid w:val="00E4278A"/>
    <w:rsid w:val="00E42CA0"/>
    <w:rsid w:val="00E42EB7"/>
    <w:rsid w:val="00E436D2"/>
    <w:rsid w:val="00E43B70"/>
    <w:rsid w:val="00E43BAC"/>
    <w:rsid w:val="00E43E98"/>
    <w:rsid w:val="00E454DF"/>
    <w:rsid w:val="00E50940"/>
    <w:rsid w:val="00E515B2"/>
    <w:rsid w:val="00E51619"/>
    <w:rsid w:val="00E516A6"/>
    <w:rsid w:val="00E51F23"/>
    <w:rsid w:val="00E5262B"/>
    <w:rsid w:val="00E52E72"/>
    <w:rsid w:val="00E53178"/>
    <w:rsid w:val="00E53C29"/>
    <w:rsid w:val="00E54A55"/>
    <w:rsid w:val="00E551E1"/>
    <w:rsid w:val="00E561BA"/>
    <w:rsid w:val="00E566DF"/>
    <w:rsid w:val="00E56935"/>
    <w:rsid w:val="00E57F44"/>
    <w:rsid w:val="00E60200"/>
    <w:rsid w:val="00E60AF4"/>
    <w:rsid w:val="00E6108C"/>
    <w:rsid w:val="00E61689"/>
    <w:rsid w:val="00E62860"/>
    <w:rsid w:val="00E62EB3"/>
    <w:rsid w:val="00E63D82"/>
    <w:rsid w:val="00E64092"/>
    <w:rsid w:val="00E650EB"/>
    <w:rsid w:val="00E657B2"/>
    <w:rsid w:val="00E65815"/>
    <w:rsid w:val="00E659A1"/>
    <w:rsid w:val="00E66A0F"/>
    <w:rsid w:val="00E66AAB"/>
    <w:rsid w:val="00E66E20"/>
    <w:rsid w:val="00E67AE2"/>
    <w:rsid w:val="00E67C5B"/>
    <w:rsid w:val="00E67D23"/>
    <w:rsid w:val="00E7017E"/>
    <w:rsid w:val="00E70492"/>
    <w:rsid w:val="00E72609"/>
    <w:rsid w:val="00E7295D"/>
    <w:rsid w:val="00E72A59"/>
    <w:rsid w:val="00E7330A"/>
    <w:rsid w:val="00E73708"/>
    <w:rsid w:val="00E73779"/>
    <w:rsid w:val="00E7471D"/>
    <w:rsid w:val="00E74F18"/>
    <w:rsid w:val="00E753CB"/>
    <w:rsid w:val="00E75658"/>
    <w:rsid w:val="00E75968"/>
    <w:rsid w:val="00E759EB"/>
    <w:rsid w:val="00E76661"/>
    <w:rsid w:val="00E76723"/>
    <w:rsid w:val="00E771E1"/>
    <w:rsid w:val="00E80CD7"/>
    <w:rsid w:val="00E810ED"/>
    <w:rsid w:val="00E82046"/>
    <w:rsid w:val="00E82325"/>
    <w:rsid w:val="00E833E6"/>
    <w:rsid w:val="00E839CA"/>
    <w:rsid w:val="00E84AA2"/>
    <w:rsid w:val="00E85BC3"/>
    <w:rsid w:val="00E873DF"/>
    <w:rsid w:val="00E87415"/>
    <w:rsid w:val="00E879CF"/>
    <w:rsid w:val="00E90A52"/>
    <w:rsid w:val="00E90DC1"/>
    <w:rsid w:val="00E91360"/>
    <w:rsid w:val="00E9167F"/>
    <w:rsid w:val="00E916EA"/>
    <w:rsid w:val="00E951F6"/>
    <w:rsid w:val="00E956DE"/>
    <w:rsid w:val="00E962BC"/>
    <w:rsid w:val="00E96DE9"/>
    <w:rsid w:val="00E9771E"/>
    <w:rsid w:val="00E97911"/>
    <w:rsid w:val="00EA02B1"/>
    <w:rsid w:val="00EA3C5C"/>
    <w:rsid w:val="00EA4ADE"/>
    <w:rsid w:val="00EA4AFE"/>
    <w:rsid w:val="00EA51DD"/>
    <w:rsid w:val="00EA6B04"/>
    <w:rsid w:val="00EB0309"/>
    <w:rsid w:val="00EB0887"/>
    <w:rsid w:val="00EB1517"/>
    <w:rsid w:val="00EB18F5"/>
    <w:rsid w:val="00EB1BA5"/>
    <w:rsid w:val="00EB1D4B"/>
    <w:rsid w:val="00EB24DD"/>
    <w:rsid w:val="00EB2557"/>
    <w:rsid w:val="00EB2A3F"/>
    <w:rsid w:val="00EB332C"/>
    <w:rsid w:val="00EB34C3"/>
    <w:rsid w:val="00EB3750"/>
    <w:rsid w:val="00EB3812"/>
    <w:rsid w:val="00EB3C22"/>
    <w:rsid w:val="00EB55CA"/>
    <w:rsid w:val="00EB6A74"/>
    <w:rsid w:val="00EB7E55"/>
    <w:rsid w:val="00EC175A"/>
    <w:rsid w:val="00EC1EA7"/>
    <w:rsid w:val="00EC26B4"/>
    <w:rsid w:val="00EC315F"/>
    <w:rsid w:val="00EC3F11"/>
    <w:rsid w:val="00EC4367"/>
    <w:rsid w:val="00EC48CB"/>
    <w:rsid w:val="00EC57AC"/>
    <w:rsid w:val="00EC57D7"/>
    <w:rsid w:val="00EC5CB3"/>
    <w:rsid w:val="00EC6753"/>
    <w:rsid w:val="00EC69B2"/>
    <w:rsid w:val="00EC6FD5"/>
    <w:rsid w:val="00EC7A47"/>
    <w:rsid w:val="00ED02CC"/>
    <w:rsid w:val="00ED0FDC"/>
    <w:rsid w:val="00ED37C0"/>
    <w:rsid w:val="00ED5526"/>
    <w:rsid w:val="00ED7609"/>
    <w:rsid w:val="00EE0FCA"/>
    <w:rsid w:val="00EE1BAB"/>
    <w:rsid w:val="00EE2183"/>
    <w:rsid w:val="00EE277E"/>
    <w:rsid w:val="00EE3435"/>
    <w:rsid w:val="00EE392F"/>
    <w:rsid w:val="00EE3CEC"/>
    <w:rsid w:val="00EE3DB8"/>
    <w:rsid w:val="00EE4576"/>
    <w:rsid w:val="00EE4D1A"/>
    <w:rsid w:val="00EE534E"/>
    <w:rsid w:val="00EE5E00"/>
    <w:rsid w:val="00EE5F8D"/>
    <w:rsid w:val="00EE663F"/>
    <w:rsid w:val="00EE67CB"/>
    <w:rsid w:val="00EE7C02"/>
    <w:rsid w:val="00EF277A"/>
    <w:rsid w:val="00EF365A"/>
    <w:rsid w:val="00EF3F34"/>
    <w:rsid w:val="00EF4726"/>
    <w:rsid w:val="00EF4B76"/>
    <w:rsid w:val="00EF4CF4"/>
    <w:rsid w:val="00EF53C7"/>
    <w:rsid w:val="00EF60EB"/>
    <w:rsid w:val="00EF6B49"/>
    <w:rsid w:val="00EF6FE5"/>
    <w:rsid w:val="00F00472"/>
    <w:rsid w:val="00F00C11"/>
    <w:rsid w:val="00F00F16"/>
    <w:rsid w:val="00F01703"/>
    <w:rsid w:val="00F02546"/>
    <w:rsid w:val="00F02AB4"/>
    <w:rsid w:val="00F040EE"/>
    <w:rsid w:val="00F04A1F"/>
    <w:rsid w:val="00F05419"/>
    <w:rsid w:val="00F055C4"/>
    <w:rsid w:val="00F065BA"/>
    <w:rsid w:val="00F06FE9"/>
    <w:rsid w:val="00F077F8"/>
    <w:rsid w:val="00F07D36"/>
    <w:rsid w:val="00F10476"/>
    <w:rsid w:val="00F12C90"/>
    <w:rsid w:val="00F14513"/>
    <w:rsid w:val="00F146A6"/>
    <w:rsid w:val="00F16513"/>
    <w:rsid w:val="00F172FB"/>
    <w:rsid w:val="00F17C58"/>
    <w:rsid w:val="00F212F9"/>
    <w:rsid w:val="00F221A9"/>
    <w:rsid w:val="00F2222E"/>
    <w:rsid w:val="00F2295E"/>
    <w:rsid w:val="00F233B6"/>
    <w:rsid w:val="00F23AF4"/>
    <w:rsid w:val="00F240E4"/>
    <w:rsid w:val="00F24209"/>
    <w:rsid w:val="00F257A1"/>
    <w:rsid w:val="00F258B5"/>
    <w:rsid w:val="00F25D24"/>
    <w:rsid w:val="00F26189"/>
    <w:rsid w:val="00F30131"/>
    <w:rsid w:val="00F30B2B"/>
    <w:rsid w:val="00F31DFE"/>
    <w:rsid w:val="00F31E9F"/>
    <w:rsid w:val="00F32442"/>
    <w:rsid w:val="00F32A98"/>
    <w:rsid w:val="00F33605"/>
    <w:rsid w:val="00F3457C"/>
    <w:rsid w:val="00F3683E"/>
    <w:rsid w:val="00F37EFD"/>
    <w:rsid w:val="00F400AB"/>
    <w:rsid w:val="00F4063F"/>
    <w:rsid w:val="00F42454"/>
    <w:rsid w:val="00F42CA9"/>
    <w:rsid w:val="00F42D75"/>
    <w:rsid w:val="00F43FBB"/>
    <w:rsid w:val="00F44D0D"/>
    <w:rsid w:val="00F45686"/>
    <w:rsid w:val="00F46315"/>
    <w:rsid w:val="00F47219"/>
    <w:rsid w:val="00F4785D"/>
    <w:rsid w:val="00F47F84"/>
    <w:rsid w:val="00F50A7F"/>
    <w:rsid w:val="00F50D7B"/>
    <w:rsid w:val="00F51A7B"/>
    <w:rsid w:val="00F51CEE"/>
    <w:rsid w:val="00F51DB1"/>
    <w:rsid w:val="00F526D9"/>
    <w:rsid w:val="00F52CBD"/>
    <w:rsid w:val="00F537DD"/>
    <w:rsid w:val="00F538CF"/>
    <w:rsid w:val="00F53987"/>
    <w:rsid w:val="00F53CDC"/>
    <w:rsid w:val="00F53F28"/>
    <w:rsid w:val="00F54C99"/>
    <w:rsid w:val="00F5650B"/>
    <w:rsid w:val="00F5676B"/>
    <w:rsid w:val="00F572CD"/>
    <w:rsid w:val="00F57DFB"/>
    <w:rsid w:val="00F61DD4"/>
    <w:rsid w:val="00F6231C"/>
    <w:rsid w:val="00F62C3E"/>
    <w:rsid w:val="00F63327"/>
    <w:rsid w:val="00F6365B"/>
    <w:rsid w:val="00F63E66"/>
    <w:rsid w:val="00F642D7"/>
    <w:rsid w:val="00F6511B"/>
    <w:rsid w:val="00F65C24"/>
    <w:rsid w:val="00F66B66"/>
    <w:rsid w:val="00F6733B"/>
    <w:rsid w:val="00F70095"/>
    <w:rsid w:val="00F700B6"/>
    <w:rsid w:val="00F71D23"/>
    <w:rsid w:val="00F71DBE"/>
    <w:rsid w:val="00F7322B"/>
    <w:rsid w:val="00F73FA5"/>
    <w:rsid w:val="00F74601"/>
    <w:rsid w:val="00F74839"/>
    <w:rsid w:val="00F74F10"/>
    <w:rsid w:val="00F753CB"/>
    <w:rsid w:val="00F75D09"/>
    <w:rsid w:val="00F764D6"/>
    <w:rsid w:val="00F76783"/>
    <w:rsid w:val="00F768A6"/>
    <w:rsid w:val="00F775AF"/>
    <w:rsid w:val="00F80FA6"/>
    <w:rsid w:val="00F8136B"/>
    <w:rsid w:val="00F81961"/>
    <w:rsid w:val="00F81A1B"/>
    <w:rsid w:val="00F83CC1"/>
    <w:rsid w:val="00F85DCC"/>
    <w:rsid w:val="00F86095"/>
    <w:rsid w:val="00F86C12"/>
    <w:rsid w:val="00F8706D"/>
    <w:rsid w:val="00F878B0"/>
    <w:rsid w:val="00F9009F"/>
    <w:rsid w:val="00F90E5D"/>
    <w:rsid w:val="00F91CF2"/>
    <w:rsid w:val="00F92A24"/>
    <w:rsid w:val="00F943FF"/>
    <w:rsid w:val="00F9477B"/>
    <w:rsid w:val="00F95125"/>
    <w:rsid w:val="00F95323"/>
    <w:rsid w:val="00F95542"/>
    <w:rsid w:val="00F95A31"/>
    <w:rsid w:val="00F96988"/>
    <w:rsid w:val="00FA0063"/>
    <w:rsid w:val="00FA136E"/>
    <w:rsid w:val="00FA1703"/>
    <w:rsid w:val="00FA387B"/>
    <w:rsid w:val="00FA3A51"/>
    <w:rsid w:val="00FA3C6C"/>
    <w:rsid w:val="00FA406E"/>
    <w:rsid w:val="00FA4A68"/>
    <w:rsid w:val="00FA4FA5"/>
    <w:rsid w:val="00FA53B4"/>
    <w:rsid w:val="00FA5CDB"/>
    <w:rsid w:val="00FA7AC3"/>
    <w:rsid w:val="00FA7B4E"/>
    <w:rsid w:val="00FA7B8B"/>
    <w:rsid w:val="00FA7EB5"/>
    <w:rsid w:val="00FB1674"/>
    <w:rsid w:val="00FB1A3D"/>
    <w:rsid w:val="00FB3331"/>
    <w:rsid w:val="00FB34AF"/>
    <w:rsid w:val="00FB39BB"/>
    <w:rsid w:val="00FB3F6E"/>
    <w:rsid w:val="00FB52CD"/>
    <w:rsid w:val="00FB5A76"/>
    <w:rsid w:val="00FB5F8E"/>
    <w:rsid w:val="00FB6286"/>
    <w:rsid w:val="00FB65D8"/>
    <w:rsid w:val="00FB7554"/>
    <w:rsid w:val="00FC0676"/>
    <w:rsid w:val="00FC08D2"/>
    <w:rsid w:val="00FC1669"/>
    <w:rsid w:val="00FC1DC4"/>
    <w:rsid w:val="00FC26EA"/>
    <w:rsid w:val="00FC2CD6"/>
    <w:rsid w:val="00FC3AE0"/>
    <w:rsid w:val="00FC5408"/>
    <w:rsid w:val="00FC687A"/>
    <w:rsid w:val="00FD0291"/>
    <w:rsid w:val="00FD061A"/>
    <w:rsid w:val="00FD08DB"/>
    <w:rsid w:val="00FD0CD8"/>
    <w:rsid w:val="00FD0D24"/>
    <w:rsid w:val="00FD0EA6"/>
    <w:rsid w:val="00FD13E3"/>
    <w:rsid w:val="00FD1646"/>
    <w:rsid w:val="00FD2549"/>
    <w:rsid w:val="00FD2D9A"/>
    <w:rsid w:val="00FD39C6"/>
    <w:rsid w:val="00FD3C84"/>
    <w:rsid w:val="00FD4CA6"/>
    <w:rsid w:val="00FD5C6F"/>
    <w:rsid w:val="00FD5D56"/>
    <w:rsid w:val="00FD5FDC"/>
    <w:rsid w:val="00FD76B9"/>
    <w:rsid w:val="00FE0F14"/>
    <w:rsid w:val="00FE1020"/>
    <w:rsid w:val="00FE11A8"/>
    <w:rsid w:val="00FE1290"/>
    <w:rsid w:val="00FE13E6"/>
    <w:rsid w:val="00FE14B9"/>
    <w:rsid w:val="00FE16AA"/>
    <w:rsid w:val="00FE2309"/>
    <w:rsid w:val="00FE2903"/>
    <w:rsid w:val="00FE3043"/>
    <w:rsid w:val="00FE3064"/>
    <w:rsid w:val="00FE3E84"/>
    <w:rsid w:val="00FE4508"/>
    <w:rsid w:val="00FE500E"/>
    <w:rsid w:val="00FE5C37"/>
    <w:rsid w:val="00FE6069"/>
    <w:rsid w:val="00FE60AE"/>
    <w:rsid w:val="00FE687E"/>
    <w:rsid w:val="00FE6BAB"/>
    <w:rsid w:val="00FE6E7A"/>
    <w:rsid w:val="00FE79A1"/>
    <w:rsid w:val="00FF1044"/>
    <w:rsid w:val="00FF105A"/>
    <w:rsid w:val="00FF173F"/>
    <w:rsid w:val="00FF53F8"/>
    <w:rsid w:val="00FF5944"/>
    <w:rsid w:val="00FF5E12"/>
    <w:rsid w:val="00FF73B4"/>
    <w:rsid w:val="00FF7FA5"/>
    <w:rsid w:val="00FF7F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2559"/>
  <w15:chartTrackingRefBased/>
  <w15:docId w15:val="{33D4E561-A6FD-40CE-BA16-CF5A192D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4C9D"/>
    <w:pPr>
      <w:spacing w:after="200" w:line="276" w:lineRule="auto"/>
    </w:pPr>
    <w:rPr>
      <w:sz w:val="22"/>
      <w:szCs w:val="22"/>
      <w:lang w:eastAsia="en-US"/>
    </w:rPr>
  </w:style>
  <w:style w:type="paragraph" w:styleId="Nadpis3">
    <w:name w:val="heading 3"/>
    <w:basedOn w:val="Normln"/>
    <w:next w:val="Normln"/>
    <w:link w:val="Nadpis3Char"/>
    <w:uiPriority w:val="9"/>
    <w:semiHidden/>
    <w:unhideWhenUsed/>
    <w:qFormat/>
    <w:rsid w:val="002968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2968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8">
    <w:name w:val="heading 8"/>
    <w:basedOn w:val="Normln"/>
    <w:next w:val="Normln"/>
    <w:link w:val="Nadpis8Char"/>
    <w:qFormat/>
    <w:rsid w:val="00C47202"/>
    <w:pPr>
      <w:keepNext/>
      <w:spacing w:after="0" w:line="240" w:lineRule="auto"/>
      <w:jc w:val="center"/>
      <w:outlineLvl w:val="7"/>
    </w:pPr>
    <w:rPr>
      <w:rFonts w:ascii="Times New Roman" w:eastAsia="Times New Roman" w:hAnsi="Times New Roman"/>
      <w:b/>
      <w:color w:val="000080"/>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95A31"/>
    <w:rPr>
      <w:sz w:val="22"/>
      <w:szCs w:val="22"/>
      <w:lang w:eastAsia="en-US"/>
    </w:rPr>
  </w:style>
  <w:style w:type="table" w:styleId="Svtlstnovn">
    <w:name w:val="Light Shading"/>
    <w:basedOn w:val="Normlntabulka"/>
    <w:uiPriority w:val="60"/>
    <w:rsid w:val="00F95A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tednseznam2">
    <w:name w:val="Medium List 2"/>
    <w:basedOn w:val="Normlntabulka"/>
    <w:uiPriority w:val="66"/>
    <w:rsid w:val="00F95A3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katabulky">
    <w:name w:val="Table Grid"/>
    <w:basedOn w:val="Normlntabulka"/>
    <w:uiPriority w:val="59"/>
    <w:rsid w:val="00F95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rsid w:val="00970A95"/>
    <w:pPr>
      <w:spacing w:after="0" w:line="240" w:lineRule="auto"/>
    </w:pPr>
    <w:rPr>
      <w:rFonts w:ascii="Courier New" w:eastAsia="Times New Roman" w:hAnsi="Courier New"/>
      <w:sz w:val="20"/>
      <w:szCs w:val="20"/>
      <w:lang w:eastAsia="cs-CZ"/>
    </w:rPr>
  </w:style>
  <w:style w:type="paragraph" w:styleId="Zkladntext">
    <w:name w:val="Body Text"/>
    <w:basedOn w:val="Normln"/>
    <w:link w:val="ZkladntextChar"/>
    <w:rsid w:val="00A765B3"/>
    <w:pPr>
      <w:spacing w:after="0" w:line="240" w:lineRule="auto"/>
    </w:pPr>
    <w:rPr>
      <w:rFonts w:ascii="Times New Roman" w:eastAsia="Times New Roman" w:hAnsi="Times New Roman"/>
      <w:sz w:val="24"/>
      <w:szCs w:val="20"/>
      <w:lang w:val="x-none" w:eastAsia="x-none"/>
    </w:rPr>
  </w:style>
  <w:style w:type="character" w:customStyle="1" w:styleId="ZkladntextChar">
    <w:name w:val="Základní text Char"/>
    <w:link w:val="Zkladntext"/>
    <w:rsid w:val="00A765B3"/>
    <w:rPr>
      <w:rFonts w:ascii="Times New Roman" w:eastAsia="Times New Roman" w:hAnsi="Times New Roman"/>
      <w:sz w:val="24"/>
    </w:rPr>
  </w:style>
  <w:style w:type="paragraph" w:styleId="Textbubliny">
    <w:name w:val="Balloon Text"/>
    <w:basedOn w:val="Normln"/>
    <w:link w:val="TextbublinyChar"/>
    <w:uiPriority w:val="99"/>
    <w:semiHidden/>
    <w:unhideWhenUsed/>
    <w:rsid w:val="00FE0F14"/>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FE0F14"/>
    <w:rPr>
      <w:rFonts w:ascii="Tahoma" w:hAnsi="Tahoma" w:cs="Tahoma"/>
      <w:sz w:val="16"/>
      <w:szCs w:val="16"/>
      <w:lang w:eastAsia="en-US"/>
    </w:rPr>
  </w:style>
  <w:style w:type="paragraph" w:styleId="Zhlav">
    <w:name w:val="header"/>
    <w:basedOn w:val="Normln"/>
    <w:link w:val="ZhlavChar"/>
    <w:uiPriority w:val="99"/>
    <w:unhideWhenUsed/>
    <w:rsid w:val="00FE0F14"/>
    <w:pPr>
      <w:tabs>
        <w:tab w:val="center" w:pos="4536"/>
        <w:tab w:val="right" w:pos="9072"/>
      </w:tabs>
    </w:pPr>
    <w:rPr>
      <w:lang w:val="x-none"/>
    </w:rPr>
  </w:style>
  <w:style w:type="character" w:customStyle="1" w:styleId="ZhlavChar">
    <w:name w:val="Záhlaví Char"/>
    <w:link w:val="Zhlav"/>
    <w:uiPriority w:val="99"/>
    <w:rsid w:val="00FE0F14"/>
    <w:rPr>
      <w:sz w:val="22"/>
      <w:szCs w:val="22"/>
      <w:lang w:eastAsia="en-US"/>
    </w:rPr>
  </w:style>
  <w:style w:type="paragraph" w:styleId="Zpat">
    <w:name w:val="footer"/>
    <w:basedOn w:val="Normln"/>
    <w:link w:val="ZpatChar"/>
    <w:uiPriority w:val="99"/>
    <w:unhideWhenUsed/>
    <w:rsid w:val="00FE0F14"/>
    <w:pPr>
      <w:tabs>
        <w:tab w:val="center" w:pos="4536"/>
        <w:tab w:val="right" w:pos="9072"/>
      </w:tabs>
    </w:pPr>
    <w:rPr>
      <w:lang w:val="x-none"/>
    </w:rPr>
  </w:style>
  <w:style w:type="character" w:customStyle="1" w:styleId="ZpatChar">
    <w:name w:val="Zápatí Char"/>
    <w:link w:val="Zpat"/>
    <w:uiPriority w:val="99"/>
    <w:rsid w:val="00FE0F14"/>
    <w:rPr>
      <w:sz w:val="22"/>
      <w:szCs w:val="22"/>
      <w:lang w:eastAsia="en-US"/>
    </w:rPr>
  </w:style>
  <w:style w:type="paragraph" w:styleId="Seznam">
    <w:name w:val="List"/>
    <w:basedOn w:val="Normln"/>
    <w:rsid w:val="00187CB9"/>
    <w:pPr>
      <w:spacing w:after="0" w:line="240" w:lineRule="auto"/>
      <w:ind w:left="283" w:hanging="283"/>
    </w:pPr>
    <w:rPr>
      <w:rFonts w:ascii="Times New Roman" w:eastAsia="Times New Roman" w:hAnsi="Times New Roman"/>
      <w:sz w:val="24"/>
      <w:szCs w:val="20"/>
      <w:lang w:eastAsia="cs-CZ"/>
    </w:rPr>
  </w:style>
  <w:style w:type="character" w:customStyle="1" w:styleId="Nadpis8Char">
    <w:name w:val="Nadpis 8 Char"/>
    <w:link w:val="Nadpis8"/>
    <w:rsid w:val="00C47202"/>
    <w:rPr>
      <w:rFonts w:ascii="Times New Roman" w:eastAsia="Times New Roman" w:hAnsi="Times New Roman"/>
      <w:b/>
      <w:color w:val="000080"/>
      <w:sz w:val="24"/>
    </w:rPr>
  </w:style>
  <w:style w:type="character" w:customStyle="1" w:styleId="nowrap">
    <w:name w:val="nowrap"/>
    <w:rsid w:val="00242A4E"/>
  </w:style>
  <w:style w:type="paragraph" w:customStyle="1" w:styleId="P1">
    <w:name w:val="ČP 1."/>
    <w:basedOn w:val="Odstavecseseznamem"/>
    <w:link w:val="P1Char"/>
    <w:autoRedefine/>
    <w:qFormat/>
    <w:rsid w:val="009F6AD7"/>
    <w:pPr>
      <w:keepNext/>
      <w:spacing w:before="120" w:after="60" w:line="240" w:lineRule="auto"/>
      <w:ind w:left="567" w:hanging="567"/>
      <w:contextualSpacing/>
      <w:jc w:val="right"/>
    </w:pPr>
    <w:rPr>
      <w:rFonts w:asciiTheme="minorHAnsi" w:hAnsiTheme="minorHAnsi" w:cstheme="minorHAnsi"/>
      <w:b/>
    </w:rPr>
  </w:style>
  <w:style w:type="character" w:customStyle="1" w:styleId="P1Char">
    <w:name w:val="ČP 1. Char"/>
    <w:link w:val="P1"/>
    <w:rsid w:val="009F6AD7"/>
    <w:rPr>
      <w:rFonts w:asciiTheme="minorHAnsi" w:hAnsiTheme="minorHAnsi" w:cstheme="minorHAnsi"/>
      <w:b/>
      <w:sz w:val="22"/>
      <w:szCs w:val="22"/>
      <w:lang w:eastAsia="en-US"/>
    </w:rPr>
  </w:style>
  <w:style w:type="paragraph" w:styleId="Odstavecseseznamem">
    <w:name w:val="List Paragraph"/>
    <w:basedOn w:val="Normln"/>
    <w:uiPriority w:val="34"/>
    <w:qFormat/>
    <w:rsid w:val="00686C3A"/>
    <w:pPr>
      <w:ind w:left="708"/>
    </w:pPr>
  </w:style>
  <w:style w:type="paragraph" w:customStyle="1" w:styleId="text11">
    <w:name w:val="text 1.1."/>
    <w:basedOn w:val="Normln"/>
    <w:rsid w:val="00FB34AF"/>
    <w:pPr>
      <w:snapToGrid w:val="0"/>
      <w:spacing w:before="80" w:after="60" w:line="240" w:lineRule="auto"/>
      <w:jc w:val="both"/>
    </w:pPr>
    <w:rPr>
      <w:rFonts w:ascii="Arial" w:hAnsi="Arial" w:cs="Arial"/>
      <w:b/>
      <w:bCs/>
      <w:caps/>
      <w:color w:val="000000"/>
      <w:sz w:val="26"/>
      <w:szCs w:val="26"/>
      <w:lang w:eastAsia="cs-CZ"/>
    </w:rPr>
  </w:style>
  <w:style w:type="paragraph" w:customStyle="1" w:styleId="Default">
    <w:name w:val="Default"/>
    <w:rsid w:val="007F7B43"/>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29686F"/>
    <w:rPr>
      <w:rFonts w:asciiTheme="majorHAnsi" w:eastAsiaTheme="majorEastAsia" w:hAnsiTheme="majorHAnsi" w:cstheme="majorBidi"/>
      <w:color w:val="1F3763" w:themeColor="accent1" w:themeShade="7F"/>
      <w:sz w:val="24"/>
      <w:szCs w:val="24"/>
      <w:lang w:eastAsia="en-US"/>
    </w:rPr>
  </w:style>
  <w:style w:type="character" w:customStyle="1" w:styleId="Nadpis4Char">
    <w:name w:val="Nadpis 4 Char"/>
    <w:basedOn w:val="Standardnpsmoodstavce"/>
    <w:link w:val="Nadpis4"/>
    <w:uiPriority w:val="9"/>
    <w:semiHidden/>
    <w:rsid w:val="0029686F"/>
    <w:rPr>
      <w:rFonts w:asciiTheme="majorHAnsi" w:eastAsiaTheme="majorEastAsia" w:hAnsiTheme="majorHAnsi" w:cstheme="majorBidi"/>
      <w:i/>
      <w:iCs/>
      <w:color w:val="2F5496" w:themeColor="accent1" w:themeShade="BF"/>
      <w:sz w:val="22"/>
      <w:szCs w:val="22"/>
      <w:lang w:eastAsia="en-US"/>
    </w:rPr>
  </w:style>
  <w:style w:type="table" w:styleId="Prosttabulka2">
    <w:name w:val="Plain Table 2"/>
    <w:basedOn w:val="Normlntabulka"/>
    <w:uiPriority w:val="42"/>
    <w:rsid w:val="00326D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dkaznakoment">
    <w:name w:val="annotation reference"/>
    <w:basedOn w:val="Standardnpsmoodstavce"/>
    <w:uiPriority w:val="99"/>
    <w:semiHidden/>
    <w:unhideWhenUsed/>
    <w:rsid w:val="002328B7"/>
    <w:rPr>
      <w:sz w:val="16"/>
      <w:szCs w:val="16"/>
    </w:rPr>
  </w:style>
  <w:style w:type="paragraph" w:styleId="Textkomente">
    <w:name w:val="annotation text"/>
    <w:basedOn w:val="Normln"/>
    <w:link w:val="TextkomenteChar"/>
    <w:uiPriority w:val="99"/>
    <w:semiHidden/>
    <w:unhideWhenUsed/>
    <w:rsid w:val="002328B7"/>
    <w:pPr>
      <w:spacing w:line="240" w:lineRule="auto"/>
    </w:pPr>
    <w:rPr>
      <w:sz w:val="20"/>
      <w:szCs w:val="20"/>
    </w:rPr>
  </w:style>
  <w:style w:type="character" w:customStyle="1" w:styleId="TextkomenteChar">
    <w:name w:val="Text komentáře Char"/>
    <w:basedOn w:val="Standardnpsmoodstavce"/>
    <w:link w:val="Textkomente"/>
    <w:uiPriority w:val="99"/>
    <w:semiHidden/>
    <w:rsid w:val="002328B7"/>
    <w:rPr>
      <w:lang w:eastAsia="en-US"/>
    </w:rPr>
  </w:style>
  <w:style w:type="paragraph" w:styleId="Pedmtkomente">
    <w:name w:val="annotation subject"/>
    <w:basedOn w:val="Textkomente"/>
    <w:next w:val="Textkomente"/>
    <w:link w:val="PedmtkomenteChar"/>
    <w:uiPriority w:val="99"/>
    <w:semiHidden/>
    <w:unhideWhenUsed/>
    <w:rsid w:val="002328B7"/>
    <w:rPr>
      <w:b/>
      <w:bCs/>
    </w:rPr>
  </w:style>
  <w:style w:type="character" w:customStyle="1" w:styleId="PedmtkomenteChar">
    <w:name w:val="Předmět komentáře Char"/>
    <w:basedOn w:val="TextkomenteChar"/>
    <w:link w:val="Pedmtkomente"/>
    <w:uiPriority w:val="99"/>
    <w:semiHidden/>
    <w:rsid w:val="002328B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865">
      <w:bodyDiv w:val="1"/>
      <w:marLeft w:val="0"/>
      <w:marRight w:val="0"/>
      <w:marTop w:val="0"/>
      <w:marBottom w:val="0"/>
      <w:divBdr>
        <w:top w:val="none" w:sz="0" w:space="0" w:color="auto"/>
        <w:left w:val="none" w:sz="0" w:space="0" w:color="auto"/>
        <w:bottom w:val="none" w:sz="0" w:space="0" w:color="auto"/>
        <w:right w:val="none" w:sz="0" w:space="0" w:color="auto"/>
      </w:divBdr>
    </w:div>
    <w:div w:id="256445521">
      <w:bodyDiv w:val="1"/>
      <w:marLeft w:val="0"/>
      <w:marRight w:val="0"/>
      <w:marTop w:val="0"/>
      <w:marBottom w:val="0"/>
      <w:divBdr>
        <w:top w:val="none" w:sz="0" w:space="0" w:color="auto"/>
        <w:left w:val="none" w:sz="0" w:space="0" w:color="auto"/>
        <w:bottom w:val="none" w:sz="0" w:space="0" w:color="auto"/>
        <w:right w:val="none" w:sz="0" w:space="0" w:color="auto"/>
      </w:divBdr>
    </w:div>
    <w:div w:id="301732958">
      <w:bodyDiv w:val="1"/>
      <w:marLeft w:val="15"/>
      <w:marRight w:val="15"/>
      <w:marTop w:val="0"/>
      <w:marBottom w:val="450"/>
      <w:divBdr>
        <w:top w:val="none" w:sz="0" w:space="0" w:color="auto"/>
        <w:left w:val="none" w:sz="0" w:space="0" w:color="auto"/>
        <w:bottom w:val="none" w:sz="0" w:space="0" w:color="auto"/>
        <w:right w:val="none" w:sz="0" w:space="0" w:color="auto"/>
      </w:divBdr>
      <w:divsChild>
        <w:div w:id="714697599">
          <w:marLeft w:val="0"/>
          <w:marRight w:val="0"/>
          <w:marTop w:val="0"/>
          <w:marBottom w:val="0"/>
          <w:divBdr>
            <w:top w:val="none" w:sz="0" w:space="0" w:color="auto"/>
            <w:left w:val="none" w:sz="0" w:space="0" w:color="auto"/>
            <w:bottom w:val="single" w:sz="24" w:space="0" w:color="1C5290"/>
            <w:right w:val="none" w:sz="0" w:space="0" w:color="auto"/>
          </w:divBdr>
          <w:divsChild>
            <w:div w:id="998117408">
              <w:marLeft w:val="0"/>
              <w:marRight w:val="0"/>
              <w:marTop w:val="0"/>
              <w:marBottom w:val="0"/>
              <w:divBdr>
                <w:top w:val="none" w:sz="0" w:space="0" w:color="auto"/>
                <w:left w:val="none" w:sz="0" w:space="0" w:color="auto"/>
                <w:bottom w:val="none" w:sz="0" w:space="0" w:color="auto"/>
                <w:right w:val="none" w:sz="0" w:space="0" w:color="auto"/>
              </w:divBdr>
              <w:divsChild>
                <w:div w:id="270095377">
                  <w:marLeft w:val="0"/>
                  <w:marRight w:val="0"/>
                  <w:marTop w:val="0"/>
                  <w:marBottom w:val="225"/>
                  <w:divBdr>
                    <w:top w:val="none" w:sz="0" w:space="0" w:color="auto"/>
                    <w:left w:val="none" w:sz="0" w:space="0" w:color="auto"/>
                    <w:bottom w:val="none" w:sz="0" w:space="0" w:color="auto"/>
                    <w:right w:val="none" w:sz="0" w:space="0" w:color="auto"/>
                  </w:divBdr>
                  <w:divsChild>
                    <w:div w:id="258292540">
                      <w:marLeft w:val="0"/>
                      <w:marRight w:val="0"/>
                      <w:marTop w:val="0"/>
                      <w:marBottom w:val="0"/>
                      <w:divBdr>
                        <w:top w:val="none" w:sz="0" w:space="0" w:color="auto"/>
                        <w:left w:val="none" w:sz="0" w:space="0" w:color="auto"/>
                        <w:bottom w:val="none" w:sz="0" w:space="0" w:color="auto"/>
                        <w:right w:val="none" w:sz="0" w:space="0" w:color="auto"/>
                      </w:divBdr>
                      <w:divsChild>
                        <w:div w:id="11286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344830">
      <w:bodyDiv w:val="1"/>
      <w:marLeft w:val="0"/>
      <w:marRight w:val="0"/>
      <w:marTop w:val="0"/>
      <w:marBottom w:val="0"/>
      <w:divBdr>
        <w:top w:val="none" w:sz="0" w:space="0" w:color="auto"/>
        <w:left w:val="none" w:sz="0" w:space="0" w:color="auto"/>
        <w:bottom w:val="none" w:sz="0" w:space="0" w:color="auto"/>
        <w:right w:val="none" w:sz="0" w:space="0" w:color="auto"/>
      </w:divBdr>
    </w:div>
    <w:div w:id="546994632">
      <w:bodyDiv w:val="1"/>
      <w:marLeft w:val="0"/>
      <w:marRight w:val="0"/>
      <w:marTop w:val="0"/>
      <w:marBottom w:val="0"/>
      <w:divBdr>
        <w:top w:val="none" w:sz="0" w:space="0" w:color="auto"/>
        <w:left w:val="none" w:sz="0" w:space="0" w:color="auto"/>
        <w:bottom w:val="none" w:sz="0" w:space="0" w:color="auto"/>
        <w:right w:val="none" w:sz="0" w:space="0" w:color="auto"/>
      </w:divBdr>
    </w:div>
    <w:div w:id="582495701">
      <w:bodyDiv w:val="1"/>
      <w:marLeft w:val="0"/>
      <w:marRight w:val="0"/>
      <w:marTop w:val="0"/>
      <w:marBottom w:val="0"/>
      <w:divBdr>
        <w:top w:val="none" w:sz="0" w:space="0" w:color="auto"/>
        <w:left w:val="none" w:sz="0" w:space="0" w:color="auto"/>
        <w:bottom w:val="none" w:sz="0" w:space="0" w:color="auto"/>
        <w:right w:val="none" w:sz="0" w:space="0" w:color="auto"/>
      </w:divBdr>
    </w:div>
    <w:div w:id="1122844970">
      <w:bodyDiv w:val="1"/>
      <w:marLeft w:val="0"/>
      <w:marRight w:val="0"/>
      <w:marTop w:val="0"/>
      <w:marBottom w:val="0"/>
      <w:divBdr>
        <w:top w:val="none" w:sz="0" w:space="0" w:color="auto"/>
        <w:left w:val="none" w:sz="0" w:space="0" w:color="auto"/>
        <w:bottom w:val="none" w:sz="0" w:space="0" w:color="auto"/>
        <w:right w:val="none" w:sz="0" w:space="0" w:color="auto"/>
      </w:divBdr>
    </w:div>
    <w:div w:id="1472558633">
      <w:bodyDiv w:val="1"/>
      <w:marLeft w:val="0"/>
      <w:marRight w:val="0"/>
      <w:marTop w:val="0"/>
      <w:marBottom w:val="0"/>
      <w:divBdr>
        <w:top w:val="none" w:sz="0" w:space="0" w:color="auto"/>
        <w:left w:val="none" w:sz="0" w:space="0" w:color="auto"/>
        <w:bottom w:val="none" w:sz="0" w:space="0" w:color="auto"/>
        <w:right w:val="none" w:sz="0" w:space="0" w:color="auto"/>
      </w:divBdr>
    </w:div>
    <w:div w:id="1611010165">
      <w:bodyDiv w:val="1"/>
      <w:marLeft w:val="0"/>
      <w:marRight w:val="0"/>
      <w:marTop w:val="0"/>
      <w:marBottom w:val="0"/>
      <w:divBdr>
        <w:top w:val="none" w:sz="0" w:space="0" w:color="auto"/>
        <w:left w:val="none" w:sz="0" w:space="0" w:color="auto"/>
        <w:bottom w:val="none" w:sz="0" w:space="0" w:color="auto"/>
        <w:right w:val="none" w:sz="0" w:space="0" w:color="auto"/>
      </w:divBdr>
    </w:div>
    <w:div w:id="19526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7EC9E-66FD-4678-868E-3FA71E64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12</Pages>
  <Words>4156</Words>
  <Characters>24524</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Návrh konstrukce pojištění, pojistných částek, spoluúčastí a limitů plnění - MAJETEK</vt:lpstr>
    </vt:vector>
  </TitlesOfParts>
  <Company>SATUM CZECH s.r.o.</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konstrukce pojištění, pojistných částek, spoluúčastí a limitů plnění - MAJETEK</dc:title>
  <dc:subject/>
  <dc:creator>RaRy</dc:creator>
  <cp:keywords/>
  <cp:lastModifiedBy>Michaela Červinková</cp:lastModifiedBy>
  <cp:revision>187</cp:revision>
  <cp:lastPrinted>2025-03-18T12:17:00Z</cp:lastPrinted>
  <dcterms:created xsi:type="dcterms:W3CDTF">2025-03-17T16:56:00Z</dcterms:created>
  <dcterms:modified xsi:type="dcterms:W3CDTF">2025-04-14T11:37:00Z</dcterms:modified>
</cp:coreProperties>
</file>