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1CC9" w14:textId="7660BA5C" w:rsidR="00395608" w:rsidRDefault="007435F8" w:rsidP="009118ED">
      <w:pPr>
        <w:contextualSpacing/>
        <w:jc w:val="both"/>
        <w:rPr>
          <w:rFonts w:ascii="Arial" w:hAnsi="Arial" w:cs="Arial"/>
          <w:b/>
        </w:rPr>
      </w:pPr>
      <w:r>
        <w:rPr>
          <w:rFonts w:ascii="Arial" w:hAnsi="Arial" w:cs="Arial"/>
          <w:b/>
        </w:rPr>
        <w:t xml:space="preserve">Technická specifikace </w:t>
      </w:r>
    </w:p>
    <w:p w14:paraId="624E322E" w14:textId="77777777" w:rsidR="001425A8" w:rsidRDefault="001425A8" w:rsidP="009118ED">
      <w:pPr>
        <w:contextualSpacing/>
        <w:jc w:val="both"/>
        <w:rPr>
          <w:rFonts w:ascii="Arial" w:hAnsi="Arial" w:cs="Arial"/>
          <w:b/>
        </w:rPr>
      </w:pPr>
    </w:p>
    <w:p w14:paraId="1D127E5F" w14:textId="79F37C8F" w:rsidR="001425A8" w:rsidRDefault="001425A8" w:rsidP="009118ED">
      <w:pPr>
        <w:contextualSpacing/>
        <w:jc w:val="both"/>
        <w:rPr>
          <w:rFonts w:ascii="Arial" w:eastAsia="Times New Roman" w:hAnsi="Arial" w:cs="Arial"/>
          <w:sz w:val="20"/>
          <w:szCs w:val="20"/>
          <w:lang w:eastAsia="cs-CZ"/>
        </w:rPr>
      </w:pPr>
      <w:r w:rsidRPr="002763CE">
        <w:rPr>
          <w:rFonts w:ascii="Arial" w:eastAsia="Times New Roman" w:hAnsi="Arial" w:cs="Arial"/>
          <w:sz w:val="20"/>
          <w:szCs w:val="20"/>
          <w:lang w:eastAsia="cs-CZ"/>
        </w:rPr>
        <w:t>Zadavatelem uvedená specifikace a technické parametry představují minimální požadavky zadavatele na dodávku uvedeného</w:t>
      </w:r>
      <w:r>
        <w:rPr>
          <w:rFonts w:ascii="Arial" w:eastAsia="Times New Roman" w:hAnsi="Arial" w:cs="Arial"/>
          <w:sz w:val="20"/>
          <w:szCs w:val="20"/>
          <w:lang w:eastAsia="cs-CZ"/>
        </w:rPr>
        <w:t xml:space="preserve"> zboží, které jsou předmětem plnění této části veřejné zakázky. Dodavatel může nabídnout řešení a zboží s lepšími parametry (v případě, že lze objektivně </w:t>
      </w:r>
      <w:r w:rsidRPr="002763CE">
        <w:rPr>
          <w:rFonts w:ascii="Arial" w:eastAsia="Times New Roman" w:hAnsi="Arial" w:cs="Arial"/>
          <w:sz w:val="20"/>
          <w:szCs w:val="20"/>
          <w:lang w:eastAsia="cs-CZ"/>
        </w:rPr>
        <w:t xml:space="preserve">stanovit, že se jedná o parametry lepší), nikoliv s parametry horšími (či horší kvality), než požaduje zadavatel v zadávacích podmínkách. </w:t>
      </w:r>
      <w:r w:rsidRPr="001425A8">
        <w:rPr>
          <w:rFonts w:ascii="Arial" w:eastAsia="Times New Roman" w:hAnsi="Arial" w:cs="Arial"/>
          <w:sz w:val="20"/>
          <w:szCs w:val="20"/>
          <w:lang w:eastAsia="cs-CZ"/>
        </w:rPr>
        <w:t>Zadavatel připouští i jiná kvalitativně a technicky obdobná řešení za podmínky, že nesmí dojít ke zhoršení požadovaných parametrů. Předmětem dodávky musí být zboží nové a originální.</w:t>
      </w:r>
    </w:p>
    <w:p w14:paraId="162E838C" w14:textId="77777777" w:rsidR="001425A8" w:rsidRDefault="001425A8" w:rsidP="009118ED">
      <w:pPr>
        <w:contextualSpacing/>
        <w:jc w:val="both"/>
        <w:rPr>
          <w:rFonts w:ascii="Arial" w:eastAsia="Times New Roman" w:hAnsi="Arial" w:cs="Arial"/>
          <w:sz w:val="20"/>
          <w:szCs w:val="20"/>
          <w:lang w:eastAsia="cs-CZ"/>
        </w:rPr>
      </w:pPr>
    </w:p>
    <w:p w14:paraId="7434E81C" w14:textId="55AEA436" w:rsidR="001425A8" w:rsidRDefault="001425A8" w:rsidP="009118ED">
      <w:pPr>
        <w:contextualSpacing/>
        <w:jc w:val="both"/>
        <w:rPr>
          <w:rFonts w:ascii="Arial" w:eastAsia="Times New Roman" w:hAnsi="Arial" w:cs="Arial"/>
          <w:sz w:val="20"/>
          <w:szCs w:val="20"/>
          <w:lang w:eastAsia="cs-CZ"/>
        </w:rPr>
      </w:pPr>
      <w:r w:rsidRPr="001425A8">
        <w:rPr>
          <w:rFonts w:ascii="Arial" w:eastAsia="Times New Roman" w:hAnsi="Arial" w:cs="Arial"/>
          <w:sz w:val="20"/>
          <w:szCs w:val="20"/>
          <w:lang w:eastAsia="cs-CZ"/>
        </w:rPr>
        <w:t>Účastník zadávacího řízení do níže uvedené tabulky uvede, zdali jeho nabízené zařízení splňuje daný parametr („ANO“ či „NE“). V případě, že lze daný parametr charakterizovat konkrétní hodnotou, je uchazeč povinen tuto hodnotu doplnit.</w:t>
      </w:r>
    </w:p>
    <w:p w14:paraId="40752696" w14:textId="77777777" w:rsidR="001425A8" w:rsidRDefault="001425A8" w:rsidP="009118ED">
      <w:pPr>
        <w:contextualSpacing/>
        <w:jc w:val="both"/>
        <w:rPr>
          <w:rFonts w:ascii="Arial" w:eastAsia="Times New Roman" w:hAnsi="Arial" w:cs="Arial"/>
          <w:sz w:val="20"/>
          <w:szCs w:val="20"/>
          <w:lang w:eastAsia="cs-CZ"/>
        </w:rPr>
      </w:pPr>
    </w:p>
    <w:p w14:paraId="766536CF" w14:textId="529F8DBF" w:rsidR="001425A8" w:rsidRDefault="001425A8" w:rsidP="009118ED">
      <w:pPr>
        <w:contextualSpacing/>
        <w:jc w:val="both"/>
        <w:rPr>
          <w:rFonts w:ascii="Arial" w:eastAsia="Times New Roman" w:hAnsi="Arial" w:cs="Arial"/>
          <w:sz w:val="20"/>
          <w:szCs w:val="20"/>
          <w:lang w:eastAsia="cs-CZ"/>
        </w:rPr>
      </w:pPr>
      <w:r w:rsidRPr="001425A8">
        <w:rPr>
          <w:rFonts w:ascii="Arial" w:eastAsia="Times New Roman" w:hAnsi="Arial" w:cs="Arial"/>
          <w:sz w:val="20"/>
          <w:szCs w:val="20"/>
          <w:lang w:eastAsia="cs-CZ"/>
        </w:rPr>
        <w:t>Veškeré parametry uvedené v technické specifikaci jsou stanoveny jako minimální přípustné. Pro účely hodnocení a posouzení nabídky musí účastník splnit veškeré zadavatelem požadované technické parametry.</w:t>
      </w:r>
    </w:p>
    <w:p w14:paraId="038A623D" w14:textId="77777777" w:rsidR="001425A8" w:rsidRDefault="001425A8" w:rsidP="009118ED">
      <w:pPr>
        <w:contextualSpacing/>
        <w:jc w:val="both"/>
        <w:rPr>
          <w:rFonts w:ascii="Arial" w:eastAsia="Times New Roman" w:hAnsi="Arial" w:cs="Arial"/>
          <w:sz w:val="20"/>
          <w:szCs w:val="20"/>
          <w:lang w:eastAsia="cs-CZ"/>
        </w:rPr>
      </w:pPr>
    </w:p>
    <w:p w14:paraId="7EA36AEE" w14:textId="70369F47" w:rsidR="001425A8" w:rsidRDefault="001425A8" w:rsidP="009118ED">
      <w:pPr>
        <w:contextualSpacing/>
        <w:jc w:val="both"/>
        <w:rPr>
          <w:rFonts w:ascii="Arial" w:eastAsia="Times New Roman" w:hAnsi="Arial" w:cs="Arial"/>
          <w:sz w:val="20"/>
          <w:szCs w:val="20"/>
          <w:lang w:eastAsia="cs-CZ"/>
        </w:rPr>
      </w:pPr>
      <w:r w:rsidRPr="001425A8">
        <w:rPr>
          <w:rFonts w:ascii="Arial" w:eastAsia="Times New Roman" w:hAnsi="Arial" w:cs="Arial"/>
          <w:sz w:val="20"/>
          <w:szCs w:val="20"/>
          <w:lang w:eastAsia="cs-CZ"/>
        </w:rPr>
        <w:t>Technické parametry, označené jako minimální (resp. maximální) musí být dodrženy bez možnosti uplatnění tolerance. Ostatní odchylky a požadavky na přesnost musí splňovat platnou legislativu, technické normy apod. Pokud účastník zadávacího řízení (dále jen „účastník“) nabídne parametr, který nedosahuje (u min. hodnoty), resp. překračuje (u max. hodnoty) hodnoty bude tato skutečnost považována za nesplnění zadávacích podmínek a důvodem pro vyloučení účastníka ze zadávacího řízení.</w:t>
      </w:r>
    </w:p>
    <w:p w14:paraId="038BFE76" w14:textId="77777777" w:rsidR="001425A8" w:rsidRDefault="001425A8" w:rsidP="009118ED">
      <w:pPr>
        <w:contextualSpacing/>
        <w:jc w:val="both"/>
        <w:rPr>
          <w:rFonts w:ascii="Arial" w:eastAsia="Times New Roman" w:hAnsi="Arial" w:cs="Arial"/>
          <w:sz w:val="20"/>
          <w:szCs w:val="20"/>
          <w:lang w:eastAsia="cs-CZ"/>
        </w:rPr>
      </w:pPr>
    </w:p>
    <w:p w14:paraId="1BBB99AE" w14:textId="74090612" w:rsidR="001425A8" w:rsidRPr="001425A8" w:rsidRDefault="001425A8" w:rsidP="009118ED">
      <w:pPr>
        <w:contextualSpacing/>
        <w:jc w:val="both"/>
        <w:rPr>
          <w:rFonts w:ascii="Arial" w:eastAsia="Times New Roman" w:hAnsi="Arial" w:cs="Arial"/>
          <w:sz w:val="20"/>
          <w:szCs w:val="20"/>
          <w:lang w:eastAsia="cs-CZ"/>
        </w:rPr>
      </w:pPr>
      <w:r w:rsidRPr="001425A8">
        <w:rPr>
          <w:rFonts w:ascii="Arial" w:eastAsia="Times New Roman" w:hAnsi="Arial" w:cs="Arial"/>
          <w:sz w:val="20"/>
          <w:szCs w:val="20"/>
          <w:lang w:eastAsia="cs-CZ"/>
        </w:rPr>
        <w:t>Zadavatel v souvislosti s předchozím odstavcem upozorňuje, že u číselně stanovených požadavků technické specifikace umožňuje u číselných požadavků, u kterých není uvedena maximální či minimální požadovaná hodnota, toleranci +/- 10 % vymezení vlastností nabízeného přístroje.</w:t>
      </w:r>
    </w:p>
    <w:p w14:paraId="1B671CFE" w14:textId="77777777" w:rsidR="009118ED" w:rsidRPr="00257B17" w:rsidRDefault="009118ED" w:rsidP="009118ED">
      <w:pPr>
        <w:contextualSpacing/>
        <w:jc w:val="both"/>
        <w:rPr>
          <w:rFonts w:ascii="Arial" w:hAnsi="Arial"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268"/>
      </w:tblGrid>
      <w:tr w:rsidR="006D22C8" w:rsidRPr="00833D8E" w14:paraId="70E5948F" w14:textId="43F5EDDB" w:rsidTr="006D22C8">
        <w:tc>
          <w:tcPr>
            <w:tcW w:w="7225" w:type="dxa"/>
            <w:shd w:val="clear" w:color="auto" w:fill="BDD6EE" w:themeFill="accent1" w:themeFillTint="66"/>
            <w:vAlign w:val="center"/>
          </w:tcPr>
          <w:p w14:paraId="5DD00B2C" w14:textId="57383043" w:rsidR="006D22C8" w:rsidRPr="005B0BD9" w:rsidRDefault="006D22C8" w:rsidP="009647FF">
            <w:pPr>
              <w:autoSpaceDE w:val="0"/>
              <w:adjustRightInd w:val="0"/>
              <w:spacing w:before="120" w:after="120" w:line="240" w:lineRule="auto"/>
              <w:jc w:val="center"/>
              <w:rPr>
                <w:rFonts w:ascii="Arial" w:hAnsi="Arial" w:cs="Arial"/>
                <w:b/>
                <w:sz w:val="20"/>
                <w:szCs w:val="20"/>
                <w:lang w:eastAsia="cs-CZ"/>
              </w:rPr>
            </w:pPr>
            <w:r>
              <w:rPr>
                <w:rFonts w:ascii="Arial" w:hAnsi="Arial" w:cs="Arial"/>
                <w:b/>
                <w:sz w:val="20"/>
                <w:szCs w:val="20"/>
                <w:lang w:eastAsia="cs-CZ"/>
              </w:rPr>
              <w:t>Specifikace dodávky</w:t>
            </w:r>
          </w:p>
        </w:tc>
        <w:tc>
          <w:tcPr>
            <w:tcW w:w="2268" w:type="dxa"/>
            <w:shd w:val="clear" w:color="auto" w:fill="BDD6EE" w:themeFill="accent1" w:themeFillTint="66"/>
          </w:tcPr>
          <w:p w14:paraId="35CDFC2C" w14:textId="04AF4C11" w:rsidR="006D22C8" w:rsidRPr="005B0BD9" w:rsidRDefault="006D22C8" w:rsidP="009647FF">
            <w:pPr>
              <w:autoSpaceDE w:val="0"/>
              <w:adjustRightInd w:val="0"/>
              <w:spacing w:before="120" w:after="120" w:line="240" w:lineRule="auto"/>
              <w:jc w:val="center"/>
              <w:rPr>
                <w:rFonts w:ascii="Arial" w:hAnsi="Arial" w:cs="Arial"/>
                <w:b/>
                <w:sz w:val="20"/>
                <w:szCs w:val="20"/>
                <w:lang w:eastAsia="cs-CZ"/>
              </w:rPr>
            </w:pPr>
            <w:r>
              <w:rPr>
                <w:rFonts w:ascii="Arial" w:hAnsi="Arial" w:cs="Arial"/>
                <w:b/>
                <w:sz w:val="20"/>
                <w:szCs w:val="20"/>
                <w:lang w:eastAsia="cs-CZ"/>
              </w:rPr>
              <w:t>Splňuje ANO/NE</w:t>
            </w:r>
          </w:p>
        </w:tc>
      </w:tr>
      <w:tr w:rsidR="005D245D" w:rsidRPr="00833D8E" w14:paraId="33DA992A" w14:textId="77777777" w:rsidTr="006D22C8">
        <w:tc>
          <w:tcPr>
            <w:tcW w:w="9493" w:type="dxa"/>
            <w:gridSpan w:val="2"/>
            <w:shd w:val="clear" w:color="auto" w:fill="BDD6EE" w:themeFill="accent1" w:themeFillTint="66"/>
            <w:vAlign w:val="center"/>
          </w:tcPr>
          <w:p w14:paraId="78DC3B44" w14:textId="5432D364" w:rsidR="005D245D" w:rsidRDefault="005D245D" w:rsidP="009647FF">
            <w:pPr>
              <w:autoSpaceDE w:val="0"/>
              <w:adjustRightInd w:val="0"/>
              <w:spacing w:before="120" w:after="120" w:line="240" w:lineRule="auto"/>
              <w:jc w:val="center"/>
              <w:rPr>
                <w:rFonts w:ascii="Arial" w:hAnsi="Arial" w:cs="Arial"/>
                <w:b/>
                <w:sz w:val="20"/>
                <w:szCs w:val="20"/>
                <w:lang w:eastAsia="cs-CZ"/>
              </w:rPr>
            </w:pPr>
            <w:r>
              <w:rPr>
                <w:rFonts w:cs="Arial"/>
                <w:b/>
              </w:rPr>
              <w:t>Technické požadavky pro elektrodový analyzátor</w:t>
            </w:r>
          </w:p>
        </w:tc>
      </w:tr>
      <w:tr w:rsidR="006D22C8" w:rsidRPr="00833D8E" w14:paraId="66801515" w14:textId="7FB32580" w:rsidTr="006D22C8">
        <w:trPr>
          <w:trHeight w:val="625"/>
        </w:trPr>
        <w:tc>
          <w:tcPr>
            <w:tcW w:w="7225" w:type="dxa"/>
            <w:vAlign w:val="center"/>
          </w:tcPr>
          <w:p w14:paraId="10045E07" w14:textId="02411610" w:rsidR="006D22C8" w:rsidRPr="009E6F1A" w:rsidRDefault="006D22C8" w:rsidP="00BC66C2">
            <w:pPr>
              <w:pStyle w:val="Bezmezer"/>
              <w:suppressAutoHyphens/>
              <w:jc w:val="both"/>
              <w:rPr>
                <w:rFonts w:ascii="Arial" w:hAnsi="Arial" w:cs="Arial"/>
                <w:sz w:val="20"/>
                <w:szCs w:val="20"/>
              </w:rPr>
            </w:pPr>
            <w:r>
              <w:rPr>
                <w:rFonts w:ascii="Arial" w:hAnsi="Arial" w:cs="Arial"/>
                <w:sz w:val="20"/>
                <w:szCs w:val="20"/>
              </w:rPr>
              <w:t>Stolní elektrodový analyzátor acidobazické rovnováhy s možností nastavení konfigurace měřených parametrů.</w:t>
            </w:r>
          </w:p>
        </w:tc>
        <w:tc>
          <w:tcPr>
            <w:tcW w:w="2268" w:type="dxa"/>
            <w:shd w:val="clear" w:color="auto" w:fill="FFFF00"/>
            <w:vAlign w:val="center"/>
          </w:tcPr>
          <w:p w14:paraId="1297D982" w14:textId="5D2F692B" w:rsidR="006D22C8" w:rsidRPr="004A39B8" w:rsidRDefault="006D22C8" w:rsidP="00BC66C2">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320F2188" w14:textId="77777777" w:rsidTr="006D22C8">
        <w:trPr>
          <w:trHeight w:val="625"/>
        </w:trPr>
        <w:tc>
          <w:tcPr>
            <w:tcW w:w="7225" w:type="dxa"/>
            <w:vAlign w:val="center"/>
          </w:tcPr>
          <w:p w14:paraId="53FA50C4" w14:textId="77777777" w:rsidR="006D22C8" w:rsidRPr="009E6F1A" w:rsidRDefault="006D22C8" w:rsidP="004A39B8">
            <w:pPr>
              <w:pStyle w:val="Bezmezer"/>
              <w:suppressAutoHyphens/>
              <w:jc w:val="both"/>
              <w:rPr>
                <w:rFonts w:ascii="Arial" w:hAnsi="Arial" w:cs="Arial"/>
                <w:sz w:val="20"/>
                <w:szCs w:val="20"/>
              </w:rPr>
            </w:pPr>
            <w:r>
              <w:rPr>
                <w:rFonts w:ascii="Arial" w:hAnsi="Arial" w:cs="Arial"/>
                <w:sz w:val="20"/>
                <w:szCs w:val="20"/>
              </w:rPr>
              <w:t>Požadované</w:t>
            </w:r>
            <w:r w:rsidRPr="009E6F1A">
              <w:rPr>
                <w:rFonts w:ascii="Arial" w:hAnsi="Arial" w:cs="Arial"/>
                <w:sz w:val="20"/>
                <w:szCs w:val="20"/>
              </w:rPr>
              <w:t xml:space="preserve"> parametry</w:t>
            </w:r>
            <w:r>
              <w:rPr>
                <w:rFonts w:ascii="Arial" w:hAnsi="Arial" w:cs="Arial"/>
                <w:sz w:val="20"/>
                <w:szCs w:val="20"/>
              </w:rPr>
              <w:t xml:space="preserve"> měřené z jednoho vzorku</w:t>
            </w:r>
            <w:r w:rsidRPr="009E6F1A">
              <w:rPr>
                <w:rFonts w:ascii="Arial" w:hAnsi="Arial" w:cs="Arial"/>
                <w:sz w:val="20"/>
                <w:szCs w:val="20"/>
              </w:rPr>
              <w:t xml:space="preserve">: </w:t>
            </w:r>
          </w:p>
          <w:p w14:paraId="416E42C2" w14:textId="1577D143" w:rsidR="006D22C8" w:rsidRPr="009E6F1A" w:rsidRDefault="006D22C8" w:rsidP="004A39B8">
            <w:pPr>
              <w:pStyle w:val="Bezmezer"/>
              <w:suppressAutoHyphens/>
              <w:jc w:val="both"/>
              <w:rPr>
                <w:rFonts w:ascii="Arial" w:hAnsi="Arial" w:cs="Arial"/>
                <w:sz w:val="20"/>
                <w:szCs w:val="20"/>
              </w:rPr>
            </w:pPr>
            <w:r w:rsidRPr="009E6F1A">
              <w:rPr>
                <w:rFonts w:ascii="Arial" w:hAnsi="Arial" w:cs="Arial"/>
                <w:sz w:val="20"/>
                <w:szCs w:val="20"/>
              </w:rPr>
              <w:t>pH, pCO</w:t>
            </w:r>
            <w:r w:rsidRPr="009E6F1A">
              <w:rPr>
                <w:rFonts w:ascii="Arial" w:hAnsi="Arial" w:cs="Arial"/>
                <w:sz w:val="20"/>
                <w:szCs w:val="20"/>
                <w:vertAlign w:val="subscript"/>
              </w:rPr>
              <w:t>2</w:t>
            </w:r>
            <w:r w:rsidRPr="009E6F1A">
              <w:rPr>
                <w:rFonts w:ascii="Arial" w:hAnsi="Arial" w:cs="Arial"/>
                <w:sz w:val="20"/>
                <w:szCs w:val="20"/>
              </w:rPr>
              <w:t>, pO</w:t>
            </w:r>
            <w:r w:rsidRPr="009E6F1A">
              <w:rPr>
                <w:rFonts w:ascii="Arial" w:hAnsi="Arial" w:cs="Arial"/>
                <w:sz w:val="20"/>
                <w:szCs w:val="20"/>
                <w:vertAlign w:val="subscript"/>
              </w:rPr>
              <w:t>2</w:t>
            </w:r>
            <w:r w:rsidRPr="009E6F1A">
              <w:rPr>
                <w:rFonts w:ascii="Arial" w:hAnsi="Arial" w:cs="Arial"/>
                <w:sz w:val="20"/>
                <w:szCs w:val="20"/>
              </w:rPr>
              <w:t>,</w:t>
            </w:r>
            <w:r>
              <w:rPr>
                <w:rFonts w:ascii="Arial" w:hAnsi="Arial" w:cs="Arial"/>
                <w:sz w:val="20"/>
                <w:szCs w:val="20"/>
              </w:rPr>
              <w:t xml:space="preserve"> </w:t>
            </w:r>
            <w:r w:rsidRPr="009E6F1A">
              <w:rPr>
                <w:rFonts w:ascii="Arial" w:hAnsi="Arial" w:cs="Arial"/>
                <w:sz w:val="20"/>
                <w:szCs w:val="20"/>
              </w:rPr>
              <w:t>Na</w:t>
            </w:r>
            <w:r w:rsidRPr="009E6F1A">
              <w:rPr>
                <w:rFonts w:ascii="Arial" w:hAnsi="Arial" w:cs="Arial"/>
                <w:sz w:val="20"/>
                <w:szCs w:val="20"/>
                <w:vertAlign w:val="superscript"/>
              </w:rPr>
              <w:t>+</w:t>
            </w:r>
            <w:r w:rsidRPr="009E6F1A">
              <w:rPr>
                <w:rFonts w:ascii="Arial" w:hAnsi="Arial" w:cs="Arial"/>
                <w:sz w:val="20"/>
                <w:szCs w:val="20"/>
              </w:rPr>
              <w:t>, K</w:t>
            </w:r>
            <w:r w:rsidRPr="009E6F1A">
              <w:rPr>
                <w:rFonts w:ascii="Arial" w:hAnsi="Arial" w:cs="Arial"/>
                <w:sz w:val="20"/>
                <w:szCs w:val="20"/>
                <w:vertAlign w:val="superscript"/>
              </w:rPr>
              <w:t>+</w:t>
            </w:r>
            <w:r w:rsidRPr="009E6F1A">
              <w:rPr>
                <w:rFonts w:ascii="Arial" w:hAnsi="Arial" w:cs="Arial"/>
                <w:sz w:val="20"/>
                <w:szCs w:val="20"/>
              </w:rPr>
              <w:t>, Cl</w:t>
            </w:r>
            <w:r w:rsidRPr="009E6F1A">
              <w:rPr>
                <w:rFonts w:ascii="Arial" w:hAnsi="Arial" w:cs="Arial"/>
                <w:sz w:val="20"/>
                <w:szCs w:val="20"/>
                <w:vertAlign w:val="superscript"/>
              </w:rPr>
              <w:t>-</w:t>
            </w:r>
            <w:r>
              <w:rPr>
                <w:rFonts w:ascii="Arial" w:hAnsi="Arial" w:cs="Arial"/>
                <w:sz w:val="20"/>
                <w:szCs w:val="20"/>
              </w:rPr>
              <w:t>, Ca</w:t>
            </w:r>
            <w:r w:rsidRPr="008A5B4D">
              <w:rPr>
                <w:rFonts w:ascii="Arial" w:hAnsi="Arial" w:cs="Arial"/>
                <w:sz w:val="20"/>
                <w:szCs w:val="20"/>
                <w:vertAlign w:val="superscript"/>
              </w:rPr>
              <w:t>2+</w:t>
            </w:r>
            <w:r w:rsidRPr="008A5B4D">
              <w:rPr>
                <w:rFonts w:ascii="Arial" w:hAnsi="Arial" w:cs="Arial"/>
                <w:sz w:val="20"/>
                <w:szCs w:val="20"/>
              </w:rPr>
              <w:t>,</w:t>
            </w:r>
            <w:r>
              <w:rPr>
                <w:rFonts w:ascii="Arial" w:hAnsi="Arial" w:cs="Arial"/>
                <w:sz w:val="20"/>
                <w:szCs w:val="20"/>
              </w:rPr>
              <w:t xml:space="preserve"> laktát, glukóza, </w:t>
            </w:r>
            <w:r w:rsidRPr="009E6F1A">
              <w:rPr>
                <w:rFonts w:ascii="Arial" w:hAnsi="Arial" w:cs="Arial"/>
                <w:sz w:val="20"/>
                <w:szCs w:val="20"/>
              </w:rPr>
              <w:t>sO</w:t>
            </w:r>
            <w:r w:rsidRPr="009E6F1A">
              <w:rPr>
                <w:rFonts w:ascii="Arial" w:hAnsi="Arial" w:cs="Arial"/>
                <w:sz w:val="20"/>
                <w:szCs w:val="20"/>
                <w:vertAlign w:val="subscript"/>
              </w:rPr>
              <w:t>2</w:t>
            </w:r>
            <w:r>
              <w:rPr>
                <w:rFonts w:ascii="Arial" w:hAnsi="Arial" w:cs="Arial"/>
                <w:sz w:val="20"/>
                <w:szCs w:val="20"/>
                <w:vertAlign w:val="subscript"/>
              </w:rPr>
              <w:t xml:space="preserve">, </w:t>
            </w:r>
            <w:proofErr w:type="spellStart"/>
            <w:r w:rsidRPr="00B66060">
              <w:rPr>
                <w:rFonts w:ascii="Arial" w:hAnsi="Arial" w:cs="Arial"/>
                <w:i/>
                <w:sz w:val="20"/>
                <w:szCs w:val="20"/>
              </w:rPr>
              <w:t>c</w:t>
            </w:r>
            <w:r w:rsidRPr="00B66060">
              <w:rPr>
                <w:rFonts w:ascii="Arial" w:hAnsi="Arial" w:cs="Arial"/>
                <w:sz w:val="20"/>
                <w:szCs w:val="20"/>
              </w:rPr>
              <w:t>tHb</w:t>
            </w:r>
            <w:proofErr w:type="spellEnd"/>
            <w:r>
              <w:rPr>
                <w:rFonts w:ascii="Arial" w:hAnsi="Arial" w:cs="Arial"/>
                <w:sz w:val="20"/>
                <w:szCs w:val="20"/>
              </w:rPr>
              <w:t xml:space="preserve">, </w:t>
            </w:r>
            <w:proofErr w:type="spellStart"/>
            <w:r w:rsidRPr="009E6F1A">
              <w:rPr>
                <w:rFonts w:ascii="Arial" w:hAnsi="Arial" w:cs="Arial"/>
                <w:sz w:val="20"/>
                <w:szCs w:val="20"/>
              </w:rPr>
              <w:t>COHb</w:t>
            </w:r>
            <w:proofErr w:type="spellEnd"/>
            <w:r w:rsidRPr="009E6F1A">
              <w:rPr>
                <w:rFonts w:ascii="Arial" w:hAnsi="Arial" w:cs="Arial"/>
                <w:sz w:val="20"/>
                <w:szCs w:val="20"/>
              </w:rPr>
              <w:t xml:space="preserve">, </w:t>
            </w:r>
            <w:r w:rsidRPr="00DE5F85">
              <w:rPr>
                <w:rFonts w:ascii="Arial" w:hAnsi="Arial" w:cs="Arial"/>
                <w:sz w:val="20"/>
                <w:szCs w:val="20"/>
              </w:rPr>
              <w:t>O</w:t>
            </w:r>
            <w:r w:rsidRPr="00DE5F85">
              <w:rPr>
                <w:rFonts w:ascii="Arial" w:hAnsi="Arial" w:cs="Arial"/>
                <w:sz w:val="20"/>
                <w:szCs w:val="20"/>
                <w:vertAlign w:val="subscript"/>
              </w:rPr>
              <w:t>2</w:t>
            </w:r>
            <w:r w:rsidRPr="00DE5F85">
              <w:rPr>
                <w:rFonts w:ascii="Arial" w:hAnsi="Arial" w:cs="Arial"/>
                <w:sz w:val="20"/>
                <w:szCs w:val="20"/>
              </w:rPr>
              <w:t>Hb</w:t>
            </w:r>
            <w:r>
              <w:rPr>
                <w:rFonts w:ascii="Arial" w:hAnsi="Arial" w:cs="Arial"/>
                <w:sz w:val="20"/>
                <w:szCs w:val="20"/>
              </w:rPr>
              <w:t xml:space="preserve">, </w:t>
            </w:r>
            <w:proofErr w:type="spellStart"/>
            <w:r w:rsidRPr="009E6F1A">
              <w:rPr>
                <w:rFonts w:ascii="Arial" w:hAnsi="Arial" w:cs="Arial"/>
                <w:sz w:val="20"/>
                <w:szCs w:val="20"/>
              </w:rPr>
              <w:t>MetHb</w:t>
            </w:r>
            <w:proofErr w:type="spellEnd"/>
            <w:r w:rsidRPr="009E6F1A">
              <w:rPr>
                <w:rFonts w:ascii="Arial" w:hAnsi="Arial" w:cs="Arial"/>
                <w:sz w:val="20"/>
                <w:szCs w:val="20"/>
              </w:rPr>
              <w:t xml:space="preserve">, </w:t>
            </w:r>
            <w:proofErr w:type="spellStart"/>
            <w:r w:rsidRPr="009E6F1A">
              <w:rPr>
                <w:rFonts w:ascii="Arial" w:hAnsi="Arial" w:cs="Arial"/>
                <w:sz w:val="20"/>
                <w:szCs w:val="20"/>
              </w:rPr>
              <w:t>HHb</w:t>
            </w:r>
            <w:proofErr w:type="spellEnd"/>
          </w:p>
        </w:tc>
        <w:tc>
          <w:tcPr>
            <w:tcW w:w="2268" w:type="dxa"/>
            <w:shd w:val="clear" w:color="auto" w:fill="FFFF00"/>
            <w:vAlign w:val="center"/>
          </w:tcPr>
          <w:p w14:paraId="3E03DF6C" w14:textId="7F81EC58"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57BA672B" w14:textId="7A4D0AB4" w:rsidTr="006D22C8">
        <w:trPr>
          <w:trHeight w:val="702"/>
        </w:trPr>
        <w:tc>
          <w:tcPr>
            <w:tcW w:w="7225" w:type="dxa"/>
            <w:vAlign w:val="center"/>
          </w:tcPr>
          <w:p w14:paraId="614197FC" w14:textId="161BB21F" w:rsidR="006D22C8" w:rsidRPr="009E6F1A" w:rsidRDefault="006D22C8" w:rsidP="004A39B8">
            <w:pPr>
              <w:pStyle w:val="Bezmezer"/>
              <w:suppressAutoHyphens/>
              <w:jc w:val="both"/>
              <w:rPr>
                <w:rFonts w:ascii="Arial" w:hAnsi="Arial" w:cs="Arial"/>
                <w:sz w:val="20"/>
                <w:szCs w:val="20"/>
              </w:rPr>
            </w:pPr>
            <w:r>
              <w:rPr>
                <w:rFonts w:ascii="Arial" w:hAnsi="Arial" w:cs="Arial"/>
                <w:sz w:val="20"/>
                <w:szCs w:val="20"/>
              </w:rPr>
              <w:t xml:space="preserve">Možnost rozšíření měření o parametry: </w:t>
            </w:r>
            <w:proofErr w:type="spellStart"/>
            <w:r>
              <w:rPr>
                <w:rFonts w:ascii="Arial" w:hAnsi="Arial" w:cs="Arial"/>
                <w:sz w:val="20"/>
                <w:szCs w:val="20"/>
              </w:rPr>
              <w:t>HbF</w:t>
            </w:r>
            <w:proofErr w:type="spellEnd"/>
            <w:r>
              <w:rPr>
                <w:rFonts w:ascii="Arial" w:hAnsi="Arial" w:cs="Arial"/>
                <w:sz w:val="20"/>
                <w:szCs w:val="20"/>
              </w:rPr>
              <w:t xml:space="preserve">, Bil, </w:t>
            </w:r>
            <w:proofErr w:type="spellStart"/>
            <w:r>
              <w:rPr>
                <w:rFonts w:ascii="Arial" w:hAnsi="Arial" w:cs="Arial"/>
                <w:sz w:val="20"/>
                <w:szCs w:val="20"/>
              </w:rPr>
              <w:t>Crea</w:t>
            </w:r>
            <w:proofErr w:type="spellEnd"/>
          </w:p>
        </w:tc>
        <w:tc>
          <w:tcPr>
            <w:tcW w:w="2268" w:type="dxa"/>
            <w:shd w:val="clear" w:color="auto" w:fill="FFFF00"/>
            <w:vAlign w:val="center"/>
          </w:tcPr>
          <w:p w14:paraId="6E9302DE" w14:textId="71AA9487"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5DC30C3C" w14:textId="077D4BD3" w:rsidTr="006D22C8">
        <w:trPr>
          <w:trHeight w:val="1123"/>
        </w:trPr>
        <w:tc>
          <w:tcPr>
            <w:tcW w:w="7225" w:type="dxa"/>
            <w:vAlign w:val="center"/>
          </w:tcPr>
          <w:p w14:paraId="1B1F92CC" w14:textId="77777777" w:rsidR="006D22C8" w:rsidRPr="009E6F1A" w:rsidRDefault="006D22C8" w:rsidP="004A39B8">
            <w:pPr>
              <w:pStyle w:val="Bezmezer"/>
              <w:suppressAutoHyphens/>
              <w:jc w:val="both"/>
              <w:rPr>
                <w:rFonts w:ascii="Arial" w:hAnsi="Arial" w:cs="Arial"/>
                <w:sz w:val="20"/>
                <w:szCs w:val="20"/>
              </w:rPr>
            </w:pPr>
            <w:r w:rsidRPr="002D6D3C">
              <w:rPr>
                <w:rFonts w:ascii="Arial" w:hAnsi="Arial" w:cs="Arial"/>
                <w:sz w:val="20"/>
                <w:szCs w:val="20"/>
              </w:rPr>
              <w:t>Počítané parametry: koncentrace bikarbonátů (HCO</w:t>
            </w:r>
            <w:r w:rsidRPr="002D6D3C">
              <w:rPr>
                <w:rFonts w:ascii="Arial" w:hAnsi="Arial" w:cs="Arial"/>
                <w:sz w:val="20"/>
                <w:szCs w:val="20"/>
                <w:vertAlign w:val="subscript"/>
              </w:rPr>
              <w:t>3</w:t>
            </w:r>
            <w:r w:rsidRPr="002D6D3C">
              <w:rPr>
                <w:rFonts w:ascii="Arial" w:hAnsi="Arial" w:cs="Arial"/>
                <w:sz w:val="20"/>
                <w:szCs w:val="20"/>
                <w:vertAlign w:val="superscript"/>
              </w:rPr>
              <w:t>-</w:t>
            </w:r>
            <w:r w:rsidRPr="002D6D3C">
              <w:rPr>
                <w:rFonts w:ascii="Arial" w:hAnsi="Arial" w:cs="Arial"/>
                <w:sz w:val="20"/>
                <w:szCs w:val="20"/>
              </w:rPr>
              <w:t xml:space="preserve">), base </w:t>
            </w:r>
            <w:proofErr w:type="spellStart"/>
            <w:r w:rsidRPr="002D6D3C">
              <w:rPr>
                <w:rFonts w:ascii="Arial" w:hAnsi="Arial" w:cs="Arial"/>
                <w:sz w:val="20"/>
                <w:szCs w:val="20"/>
              </w:rPr>
              <w:t>excess</w:t>
            </w:r>
            <w:proofErr w:type="spellEnd"/>
            <w:r w:rsidRPr="002D6D3C">
              <w:rPr>
                <w:rFonts w:ascii="Arial" w:hAnsi="Arial" w:cs="Arial"/>
                <w:sz w:val="20"/>
                <w:szCs w:val="20"/>
              </w:rPr>
              <w:t xml:space="preserve"> v krvi (BE), hematokrit (</w:t>
            </w:r>
            <w:proofErr w:type="spellStart"/>
            <w:r w:rsidRPr="002D6D3C">
              <w:rPr>
                <w:rFonts w:ascii="Arial" w:hAnsi="Arial" w:cs="Arial"/>
                <w:sz w:val="20"/>
                <w:szCs w:val="20"/>
              </w:rPr>
              <w:t>Hct</w:t>
            </w:r>
            <w:proofErr w:type="spellEnd"/>
            <w:r w:rsidRPr="002D6D3C">
              <w:rPr>
                <w:rFonts w:ascii="Arial" w:hAnsi="Arial" w:cs="Arial"/>
                <w:sz w:val="20"/>
                <w:szCs w:val="20"/>
              </w:rPr>
              <w:t>), pH, pCO</w:t>
            </w:r>
            <w:r w:rsidRPr="002D6D3C">
              <w:rPr>
                <w:rFonts w:ascii="Arial" w:hAnsi="Arial" w:cs="Arial"/>
                <w:sz w:val="20"/>
                <w:szCs w:val="20"/>
                <w:vertAlign w:val="subscript"/>
              </w:rPr>
              <w:t>2</w:t>
            </w:r>
            <w:r w:rsidRPr="002D6D3C">
              <w:rPr>
                <w:rFonts w:ascii="Arial" w:hAnsi="Arial" w:cs="Arial"/>
                <w:sz w:val="20"/>
                <w:szCs w:val="20"/>
              </w:rPr>
              <w:t xml:space="preserve"> a pO</w:t>
            </w:r>
            <w:r w:rsidRPr="002D6D3C">
              <w:rPr>
                <w:rFonts w:ascii="Arial" w:hAnsi="Arial" w:cs="Arial"/>
                <w:sz w:val="20"/>
                <w:szCs w:val="20"/>
                <w:vertAlign w:val="subscript"/>
              </w:rPr>
              <w:t xml:space="preserve">2 </w:t>
            </w:r>
            <w:r w:rsidRPr="002D6D3C">
              <w:rPr>
                <w:rFonts w:ascii="Arial" w:hAnsi="Arial" w:cs="Arial"/>
                <w:sz w:val="20"/>
                <w:szCs w:val="20"/>
              </w:rPr>
              <w:t>korigované na teplotu pacienta, parciální tlak kyslíku při poloviční saturaci hemoglobinu (p50), celková koncentrace CO</w:t>
            </w:r>
            <w:r w:rsidRPr="002D6D3C">
              <w:rPr>
                <w:rFonts w:ascii="Arial" w:hAnsi="Arial" w:cs="Arial"/>
                <w:sz w:val="20"/>
                <w:szCs w:val="20"/>
                <w:vertAlign w:val="subscript"/>
              </w:rPr>
              <w:t>2</w:t>
            </w:r>
            <w:r w:rsidRPr="002D6D3C">
              <w:rPr>
                <w:rFonts w:ascii="Arial" w:hAnsi="Arial" w:cs="Arial"/>
                <w:sz w:val="20"/>
                <w:szCs w:val="20"/>
              </w:rPr>
              <w:t xml:space="preserve"> (tCO</w:t>
            </w:r>
            <w:r w:rsidRPr="002D6D3C">
              <w:rPr>
                <w:rFonts w:ascii="Arial" w:hAnsi="Arial" w:cs="Arial"/>
                <w:sz w:val="20"/>
                <w:szCs w:val="20"/>
                <w:vertAlign w:val="subscript"/>
              </w:rPr>
              <w:t>2</w:t>
            </w:r>
            <w:r w:rsidRPr="002D6D3C">
              <w:rPr>
                <w:rFonts w:ascii="Arial" w:hAnsi="Arial" w:cs="Arial"/>
                <w:sz w:val="20"/>
                <w:szCs w:val="20"/>
              </w:rPr>
              <w:t>), celková koncentrace O</w:t>
            </w:r>
            <w:r w:rsidRPr="002D6D3C">
              <w:rPr>
                <w:rFonts w:ascii="Arial" w:hAnsi="Arial" w:cs="Arial"/>
                <w:sz w:val="20"/>
                <w:szCs w:val="20"/>
                <w:vertAlign w:val="subscript"/>
              </w:rPr>
              <w:t>2</w:t>
            </w:r>
            <w:r w:rsidRPr="002D6D3C">
              <w:rPr>
                <w:rFonts w:ascii="Arial" w:hAnsi="Arial" w:cs="Arial"/>
                <w:sz w:val="20"/>
                <w:szCs w:val="20"/>
              </w:rPr>
              <w:t xml:space="preserve"> (tO</w:t>
            </w:r>
            <w:r w:rsidRPr="002D6D3C">
              <w:rPr>
                <w:rFonts w:ascii="Arial" w:hAnsi="Arial" w:cs="Arial"/>
                <w:sz w:val="20"/>
                <w:szCs w:val="20"/>
                <w:vertAlign w:val="subscript"/>
              </w:rPr>
              <w:t>2</w:t>
            </w:r>
            <w:r w:rsidRPr="002D6D3C">
              <w:rPr>
                <w:rFonts w:ascii="Arial" w:hAnsi="Arial" w:cs="Arial"/>
                <w:sz w:val="20"/>
                <w:szCs w:val="20"/>
              </w:rPr>
              <w:t>).</w:t>
            </w:r>
          </w:p>
        </w:tc>
        <w:tc>
          <w:tcPr>
            <w:tcW w:w="2268" w:type="dxa"/>
            <w:shd w:val="clear" w:color="auto" w:fill="FFFF00"/>
            <w:vAlign w:val="center"/>
          </w:tcPr>
          <w:p w14:paraId="5A484C19" w14:textId="7B54314A"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7D9037D8" w14:textId="2DCFAA3E" w:rsidTr="006D22C8">
        <w:trPr>
          <w:trHeight w:val="510"/>
        </w:trPr>
        <w:tc>
          <w:tcPr>
            <w:tcW w:w="7225" w:type="dxa"/>
            <w:vAlign w:val="center"/>
          </w:tcPr>
          <w:p w14:paraId="1EB9403A" w14:textId="14701418" w:rsidR="006D22C8" w:rsidRPr="009E6F1A" w:rsidRDefault="006D22C8" w:rsidP="004A39B8">
            <w:pPr>
              <w:pStyle w:val="Bezmezer"/>
              <w:suppressAutoHyphens/>
              <w:rPr>
                <w:rFonts w:ascii="Arial" w:hAnsi="Arial" w:cs="Arial"/>
                <w:sz w:val="20"/>
                <w:szCs w:val="20"/>
              </w:rPr>
            </w:pPr>
            <w:r w:rsidRPr="009E6F1A">
              <w:rPr>
                <w:rFonts w:ascii="Arial" w:hAnsi="Arial" w:cs="Arial"/>
                <w:sz w:val="20"/>
                <w:szCs w:val="20"/>
              </w:rPr>
              <w:t xml:space="preserve">Analýza plné krve </w:t>
            </w:r>
            <w:r>
              <w:rPr>
                <w:rFonts w:ascii="Arial" w:hAnsi="Arial" w:cs="Arial"/>
                <w:sz w:val="20"/>
                <w:szCs w:val="20"/>
              </w:rPr>
              <w:t>a dialyzátu</w:t>
            </w:r>
            <w:r w:rsidRPr="009E6F1A">
              <w:rPr>
                <w:rFonts w:ascii="Arial" w:hAnsi="Arial" w:cs="Arial"/>
                <w:sz w:val="20"/>
                <w:szCs w:val="20"/>
              </w:rPr>
              <w:t xml:space="preserve"> ze stříkačky i z</w:t>
            </w:r>
            <w:r>
              <w:rPr>
                <w:rFonts w:ascii="Arial" w:hAnsi="Arial" w:cs="Arial"/>
                <w:sz w:val="20"/>
                <w:szCs w:val="20"/>
              </w:rPr>
              <w:t> </w:t>
            </w:r>
            <w:r w:rsidRPr="009E6F1A">
              <w:rPr>
                <w:rFonts w:ascii="Arial" w:hAnsi="Arial" w:cs="Arial"/>
                <w:sz w:val="20"/>
                <w:szCs w:val="20"/>
              </w:rPr>
              <w:t>kapiláry.</w:t>
            </w:r>
          </w:p>
        </w:tc>
        <w:tc>
          <w:tcPr>
            <w:tcW w:w="2268" w:type="dxa"/>
            <w:shd w:val="clear" w:color="auto" w:fill="FFFF00"/>
            <w:vAlign w:val="center"/>
          </w:tcPr>
          <w:p w14:paraId="2D19F2D4" w14:textId="0FEFAF6F"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1F7DB671" w14:textId="68F747CD" w:rsidTr="006D22C8">
        <w:trPr>
          <w:trHeight w:val="510"/>
        </w:trPr>
        <w:tc>
          <w:tcPr>
            <w:tcW w:w="7225" w:type="dxa"/>
            <w:vAlign w:val="center"/>
          </w:tcPr>
          <w:p w14:paraId="2100362A" w14:textId="7AC8A2A5" w:rsidR="006D22C8" w:rsidRPr="009E6F1A" w:rsidRDefault="006D22C8" w:rsidP="004A39B8">
            <w:pPr>
              <w:pStyle w:val="Bezmezer"/>
              <w:suppressAutoHyphens/>
              <w:rPr>
                <w:rFonts w:ascii="Arial" w:hAnsi="Arial" w:cs="Arial"/>
                <w:sz w:val="20"/>
                <w:szCs w:val="20"/>
              </w:rPr>
            </w:pPr>
            <w:r>
              <w:rPr>
                <w:rFonts w:ascii="Arial" w:hAnsi="Arial" w:cs="Arial"/>
                <w:sz w:val="20"/>
                <w:szCs w:val="20"/>
              </w:rPr>
              <w:t>Podavač vzorků s integrovanou čtečkou čárových kódů a automatickým promícháním vzorků</w:t>
            </w:r>
          </w:p>
        </w:tc>
        <w:tc>
          <w:tcPr>
            <w:tcW w:w="2268" w:type="dxa"/>
            <w:shd w:val="clear" w:color="auto" w:fill="FFFF00"/>
            <w:vAlign w:val="center"/>
          </w:tcPr>
          <w:p w14:paraId="202AA80D" w14:textId="578CF560"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10870926" w14:textId="509B57C9" w:rsidTr="006D22C8">
        <w:trPr>
          <w:trHeight w:val="510"/>
        </w:trPr>
        <w:tc>
          <w:tcPr>
            <w:tcW w:w="7225" w:type="dxa"/>
            <w:vAlign w:val="center"/>
          </w:tcPr>
          <w:p w14:paraId="72D1723C" w14:textId="4009E8CD" w:rsidR="006D22C8" w:rsidRPr="009E6F1A" w:rsidRDefault="006D22C8" w:rsidP="004A39B8">
            <w:pPr>
              <w:pStyle w:val="Bezmezer"/>
              <w:suppressAutoHyphens/>
              <w:rPr>
                <w:rFonts w:ascii="Arial" w:hAnsi="Arial" w:cs="Arial"/>
                <w:sz w:val="20"/>
                <w:szCs w:val="20"/>
              </w:rPr>
            </w:pPr>
            <w:r w:rsidRPr="00D85DE5">
              <w:rPr>
                <w:rFonts w:ascii="Arial" w:hAnsi="Arial" w:cs="Arial"/>
                <w:sz w:val="20"/>
                <w:szCs w:val="20"/>
              </w:rPr>
              <w:t xml:space="preserve">Objem vzorku pro všechny požadované měřené parametry </w:t>
            </w:r>
            <w:r>
              <w:rPr>
                <w:rFonts w:ascii="Arial" w:hAnsi="Arial" w:cs="Arial"/>
                <w:sz w:val="20"/>
                <w:szCs w:val="20"/>
              </w:rPr>
              <w:t xml:space="preserve">maximálně 100 </w:t>
            </w:r>
            <w:r w:rsidRPr="00D85DE5">
              <w:rPr>
                <w:rFonts w:ascii="Arial" w:hAnsi="Arial" w:cs="Arial"/>
                <w:sz w:val="20"/>
                <w:szCs w:val="20"/>
              </w:rPr>
              <w:t>µl.</w:t>
            </w:r>
          </w:p>
        </w:tc>
        <w:tc>
          <w:tcPr>
            <w:tcW w:w="2268" w:type="dxa"/>
            <w:shd w:val="clear" w:color="auto" w:fill="FFFF00"/>
            <w:vAlign w:val="center"/>
          </w:tcPr>
          <w:p w14:paraId="70A0A85B" w14:textId="1C64FA68"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74CDF8A9" w14:textId="6A612CCB" w:rsidTr="006D22C8">
        <w:trPr>
          <w:trHeight w:val="510"/>
        </w:trPr>
        <w:tc>
          <w:tcPr>
            <w:tcW w:w="7225" w:type="dxa"/>
            <w:vAlign w:val="center"/>
          </w:tcPr>
          <w:p w14:paraId="0D5C3351" w14:textId="7549D288" w:rsidR="006D22C8" w:rsidRPr="00D85DE5" w:rsidRDefault="006D22C8" w:rsidP="004A39B8">
            <w:pPr>
              <w:pStyle w:val="Bezmezer"/>
              <w:suppressAutoHyphens/>
              <w:rPr>
                <w:rFonts w:ascii="Arial" w:hAnsi="Arial" w:cs="Arial"/>
                <w:sz w:val="20"/>
                <w:szCs w:val="20"/>
              </w:rPr>
            </w:pPr>
            <w:r>
              <w:rPr>
                <w:rFonts w:ascii="Arial" w:hAnsi="Arial" w:cs="Arial"/>
                <w:sz w:val="20"/>
                <w:szCs w:val="20"/>
              </w:rPr>
              <w:t>A</w:t>
            </w:r>
            <w:r w:rsidRPr="003F6D8D">
              <w:rPr>
                <w:rFonts w:ascii="Arial" w:hAnsi="Arial" w:cs="Arial"/>
                <w:sz w:val="20"/>
                <w:szCs w:val="20"/>
              </w:rPr>
              <w:t xml:space="preserve">daptivní mód </w:t>
            </w:r>
            <w:r>
              <w:rPr>
                <w:rFonts w:ascii="Arial" w:hAnsi="Arial" w:cs="Arial"/>
                <w:sz w:val="20"/>
                <w:szCs w:val="20"/>
              </w:rPr>
              <w:t xml:space="preserve">měření </w:t>
            </w:r>
            <w:r w:rsidRPr="003F6D8D">
              <w:rPr>
                <w:rFonts w:ascii="Arial" w:hAnsi="Arial" w:cs="Arial"/>
                <w:sz w:val="20"/>
                <w:szCs w:val="20"/>
              </w:rPr>
              <w:t xml:space="preserve">pro objem vzorku </w:t>
            </w:r>
            <w:r>
              <w:rPr>
                <w:rFonts w:ascii="Arial" w:hAnsi="Arial" w:cs="Arial"/>
                <w:sz w:val="20"/>
                <w:szCs w:val="20"/>
              </w:rPr>
              <w:t>o nestandardním objemu</w:t>
            </w:r>
            <w:r w:rsidRPr="003F6D8D">
              <w:rPr>
                <w:rFonts w:ascii="Arial" w:hAnsi="Arial" w:cs="Arial"/>
                <w:sz w:val="20"/>
                <w:szCs w:val="20"/>
              </w:rPr>
              <w:t xml:space="preserve"> </w:t>
            </w:r>
            <w:r>
              <w:rPr>
                <w:rFonts w:ascii="Arial" w:hAnsi="Arial" w:cs="Arial"/>
                <w:sz w:val="20"/>
                <w:szCs w:val="20"/>
              </w:rPr>
              <w:t xml:space="preserve">(pod 100 </w:t>
            </w:r>
            <w:r w:rsidRPr="00D85DE5">
              <w:rPr>
                <w:rFonts w:ascii="Arial" w:hAnsi="Arial" w:cs="Arial"/>
                <w:sz w:val="20"/>
                <w:szCs w:val="20"/>
              </w:rPr>
              <w:t>µ</w:t>
            </w:r>
            <w:r w:rsidRPr="003F6D8D">
              <w:rPr>
                <w:rFonts w:ascii="Arial" w:hAnsi="Arial" w:cs="Arial"/>
                <w:sz w:val="20"/>
                <w:szCs w:val="20"/>
              </w:rPr>
              <w:t>l</w:t>
            </w:r>
            <w:r>
              <w:rPr>
                <w:rFonts w:ascii="Arial" w:hAnsi="Arial" w:cs="Arial"/>
                <w:sz w:val="20"/>
                <w:szCs w:val="20"/>
              </w:rPr>
              <w:t xml:space="preserve">) </w:t>
            </w:r>
            <w:r w:rsidRPr="003F6D8D">
              <w:rPr>
                <w:rFonts w:ascii="Arial" w:hAnsi="Arial" w:cs="Arial"/>
                <w:sz w:val="20"/>
                <w:szCs w:val="20"/>
              </w:rPr>
              <w:t>pro všechny parametry včetně</w:t>
            </w:r>
            <w:r>
              <w:rPr>
                <w:rFonts w:ascii="Arial" w:hAnsi="Arial" w:cs="Arial"/>
                <w:sz w:val="20"/>
                <w:szCs w:val="20"/>
              </w:rPr>
              <w:t xml:space="preserve"> </w:t>
            </w:r>
            <w:proofErr w:type="spellStart"/>
            <w:r w:rsidRPr="003F6D8D">
              <w:rPr>
                <w:rFonts w:ascii="Arial" w:hAnsi="Arial" w:cs="Arial"/>
                <w:sz w:val="20"/>
                <w:szCs w:val="20"/>
              </w:rPr>
              <w:t>oxymetrie</w:t>
            </w:r>
            <w:proofErr w:type="spellEnd"/>
            <w:r>
              <w:rPr>
                <w:rFonts w:ascii="Arial" w:hAnsi="Arial" w:cs="Arial"/>
                <w:sz w:val="20"/>
                <w:szCs w:val="20"/>
              </w:rPr>
              <w:t>.</w:t>
            </w:r>
          </w:p>
        </w:tc>
        <w:tc>
          <w:tcPr>
            <w:tcW w:w="2268" w:type="dxa"/>
            <w:shd w:val="clear" w:color="auto" w:fill="FFFF00"/>
            <w:vAlign w:val="center"/>
          </w:tcPr>
          <w:p w14:paraId="28CC0B2F" w14:textId="1F067B87"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19BC01FD" w14:textId="77777777" w:rsidTr="006D22C8">
        <w:trPr>
          <w:trHeight w:val="510"/>
        </w:trPr>
        <w:tc>
          <w:tcPr>
            <w:tcW w:w="7225" w:type="dxa"/>
            <w:vAlign w:val="center"/>
          </w:tcPr>
          <w:p w14:paraId="2F9EA47B" w14:textId="1F075F00" w:rsidR="006D22C8" w:rsidRDefault="006D22C8" w:rsidP="004A39B8">
            <w:pPr>
              <w:pStyle w:val="Bezmezer"/>
              <w:suppressAutoHyphens/>
              <w:rPr>
                <w:rFonts w:ascii="Arial" w:hAnsi="Arial" w:cs="Arial"/>
                <w:sz w:val="20"/>
                <w:szCs w:val="20"/>
              </w:rPr>
            </w:pPr>
            <w:r w:rsidRPr="009E6F1A">
              <w:rPr>
                <w:rFonts w:ascii="Arial" w:hAnsi="Arial" w:cs="Arial"/>
                <w:sz w:val="20"/>
                <w:szCs w:val="20"/>
              </w:rPr>
              <w:lastRenderedPageBreak/>
              <w:t>Načtení elektrod, membrán, všech provozních roztoků a</w:t>
            </w:r>
            <w:r>
              <w:rPr>
                <w:rFonts w:ascii="Arial" w:hAnsi="Arial" w:cs="Arial"/>
                <w:sz w:val="20"/>
                <w:szCs w:val="20"/>
              </w:rPr>
              <w:t> </w:t>
            </w:r>
            <w:r w:rsidRPr="009E6F1A">
              <w:rPr>
                <w:rFonts w:ascii="Arial" w:hAnsi="Arial" w:cs="Arial"/>
                <w:sz w:val="20"/>
                <w:szCs w:val="20"/>
              </w:rPr>
              <w:t>kontrolního materiálu přes čárový kód.</w:t>
            </w:r>
          </w:p>
        </w:tc>
        <w:tc>
          <w:tcPr>
            <w:tcW w:w="2268" w:type="dxa"/>
            <w:shd w:val="clear" w:color="auto" w:fill="FFFF00"/>
            <w:vAlign w:val="center"/>
          </w:tcPr>
          <w:p w14:paraId="7418DB52" w14:textId="43174B93"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5487890D" w14:textId="77777777" w:rsidTr="006D22C8">
        <w:trPr>
          <w:trHeight w:val="510"/>
        </w:trPr>
        <w:tc>
          <w:tcPr>
            <w:tcW w:w="7225" w:type="dxa"/>
            <w:vAlign w:val="center"/>
          </w:tcPr>
          <w:p w14:paraId="4493421C" w14:textId="08582DED" w:rsidR="006D22C8" w:rsidRPr="009E6F1A" w:rsidRDefault="006D22C8" w:rsidP="004A39B8">
            <w:pPr>
              <w:pStyle w:val="Bezmezer"/>
              <w:suppressAutoHyphens/>
              <w:rPr>
                <w:rFonts w:ascii="Arial" w:hAnsi="Arial" w:cs="Arial"/>
                <w:sz w:val="20"/>
                <w:szCs w:val="20"/>
              </w:rPr>
            </w:pPr>
            <w:r w:rsidRPr="009E6F1A">
              <w:rPr>
                <w:rFonts w:ascii="Arial" w:hAnsi="Arial" w:cs="Arial"/>
                <w:sz w:val="20"/>
                <w:szCs w:val="20"/>
              </w:rPr>
              <w:t>Automatická detekce hladiny všech</w:t>
            </w:r>
            <w:r>
              <w:rPr>
                <w:rFonts w:ascii="Arial" w:hAnsi="Arial" w:cs="Arial"/>
                <w:sz w:val="20"/>
                <w:szCs w:val="20"/>
              </w:rPr>
              <w:t xml:space="preserve"> provozních</w:t>
            </w:r>
            <w:r w:rsidRPr="009E6F1A">
              <w:rPr>
                <w:rFonts w:ascii="Arial" w:hAnsi="Arial" w:cs="Arial"/>
                <w:sz w:val="20"/>
                <w:szCs w:val="20"/>
              </w:rPr>
              <w:t xml:space="preserve"> roztoků.</w:t>
            </w:r>
          </w:p>
        </w:tc>
        <w:tc>
          <w:tcPr>
            <w:tcW w:w="2268" w:type="dxa"/>
            <w:shd w:val="clear" w:color="auto" w:fill="FFFF00"/>
            <w:vAlign w:val="center"/>
          </w:tcPr>
          <w:p w14:paraId="605BFE97" w14:textId="7999F324"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2FAA3589" w14:textId="77777777" w:rsidTr="006D22C8">
        <w:trPr>
          <w:trHeight w:val="510"/>
        </w:trPr>
        <w:tc>
          <w:tcPr>
            <w:tcW w:w="7225" w:type="dxa"/>
            <w:vAlign w:val="center"/>
          </w:tcPr>
          <w:p w14:paraId="7B761AA9" w14:textId="22E3B98B" w:rsidR="006D22C8" w:rsidRPr="009E6F1A" w:rsidRDefault="006D22C8" w:rsidP="004A39B8">
            <w:pPr>
              <w:pStyle w:val="Bezmezer"/>
              <w:suppressAutoHyphens/>
              <w:rPr>
                <w:rFonts w:ascii="Arial" w:hAnsi="Arial" w:cs="Arial"/>
                <w:sz w:val="20"/>
                <w:szCs w:val="20"/>
              </w:rPr>
            </w:pPr>
            <w:r>
              <w:rPr>
                <w:rFonts w:ascii="Arial" w:hAnsi="Arial" w:cs="Arial"/>
                <w:sz w:val="20"/>
                <w:szCs w:val="20"/>
              </w:rPr>
              <w:t>Minimální počet dvoubodových kalibrací – max. 4 za 24 hodin.</w:t>
            </w:r>
          </w:p>
        </w:tc>
        <w:tc>
          <w:tcPr>
            <w:tcW w:w="2268" w:type="dxa"/>
            <w:shd w:val="clear" w:color="auto" w:fill="FFFF00"/>
            <w:vAlign w:val="center"/>
          </w:tcPr>
          <w:p w14:paraId="7CE9B8DB" w14:textId="17FD3B15"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7DA83989" w14:textId="46C54709" w:rsidTr="006D22C8">
        <w:trPr>
          <w:trHeight w:val="510"/>
        </w:trPr>
        <w:tc>
          <w:tcPr>
            <w:tcW w:w="7225" w:type="dxa"/>
            <w:vAlign w:val="center"/>
          </w:tcPr>
          <w:p w14:paraId="741DB9D1" w14:textId="7D245E9B" w:rsidR="006D22C8" w:rsidRPr="009E6F1A" w:rsidRDefault="006D22C8" w:rsidP="004A39B8">
            <w:pPr>
              <w:pStyle w:val="Bezmezer"/>
              <w:suppressAutoHyphens/>
              <w:jc w:val="both"/>
              <w:rPr>
                <w:rFonts w:ascii="Arial" w:hAnsi="Arial" w:cs="Arial"/>
                <w:sz w:val="20"/>
                <w:szCs w:val="20"/>
              </w:rPr>
            </w:pPr>
            <w:r w:rsidRPr="009E6F1A">
              <w:rPr>
                <w:rFonts w:ascii="Arial" w:hAnsi="Arial" w:cs="Arial"/>
                <w:sz w:val="20"/>
                <w:szCs w:val="20"/>
              </w:rPr>
              <w:t xml:space="preserve">Možnost naprogramování vlastní frekvence provádění </w:t>
            </w:r>
            <w:r>
              <w:rPr>
                <w:rFonts w:ascii="Arial" w:hAnsi="Arial" w:cs="Arial"/>
                <w:sz w:val="20"/>
                <w:szCs w:val="20"/>
              </w:rPr>
              <w:t>kontrolních měření i kalibrací (jak úrovně, tak denní četnosti).</w:t>
            </w:r>
          </w:p>
        </w:tc>
        <w:tc>
          <w:tcPr>
            <w:tcW w:w="2268" w:type="dxa"/>
            <w:shd w:val="clear" w:color="auto" w:fill="FFFF00"/>
            <w:vAlign w:val="center"/>
          </w:tcPr>
          <w:p w14:paraId="0757135C" w14:textId="1BA70BBF"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D40C4F" w:rsidRPr="00833D8E" w14:paraId="41C2817E" w14:textId="77777777" w:rsidTr="006D22C8">
        <w:trPr>
          <w:trHeight w:val="510"/>
        </w:trPr>
        <w:tc>
          <w:tcPr>
            <w:tcW w:w="9493" w:type="dxa"/>
            <w:gridSpan w:val="2"/>
            <w:shd w:val="clear" w:color="auto" w:fill="BDD6EE" w:themeFill="accent1" w:themeFillTint="66"/>
            <w:vAlign w:val="center"/>
          </w:tcPr>
          <w:p w14:paraId="2AE8D866" w14:textId="3334B4D3" w:rsidR="00D40C4F" w:rsidRPr="009E6F1A" w:rsidRDefault="00D40C4F" w:rsidP="00D40C4F">
            <w:pPr>
              <w:pStyle w:val="Bezmezer"/>
              <w:suppressAutoHyphens/>
              <w:jc w:val="center"/>
              <w:rPr>
                <w:rFonts w:ascii="Arial" w:hAnsi="Arial" w:cs="Arial"/>
                <w:sz w:val="20"/>
                <w:szCs w:val="20"/>
              </w:rPr>
            </w:pPr>
            <w:r>
              <w:rPr>
                <w:rFonts w:cs="Arial"/>
                <w:b/>
              </w:rPr>
              <w:t>Technické požadavky pro kazetový POCT analyzátor</w:t>
            </w:r>
          </w:p>
        </w:tc>
      </w:tr>
      <w:tr w:rsidR="006D22C8" w:rsidRPr="00833D8E" w14:paraId="2AA32954" w14:textId="77777777" w:rsidTr="006D22C8">
        <w:trPr>
          <w:trHeight w:val="510"/>
        </w:trPr>
        <w:tc>
          <w:tcPr>
            <w:tcW w:w="7225" w:type="dxa"/>
            <w:vAlign w:val="center"/>
          </w:tcPr>
          <w:p w14:paraId="2E2CC440" w14:textId="2FA730D3" w:rsidR="006D22C8" w:rsidRDefault="006D22C8" w:rsidP="004A39B8">
            <w:pPr>
              <w:pStyle w:val="Bezmezer"/>
              <w:suppressAutoHyphens/>
              <w:jc w:val="both"/>
              <w:rPr>
                <w:rFonts w:cs="Arial"/>
                <w:b/>
              </w:rPr>
            </w:pPr>
            <w:r w:rsidRPr="007F208E">
              <w:rPr>
                <w:rFonts w:ascii="Arial" w:hAnsi="Arial" w:cs="Arial"/>
                <w:bCs/>
                <w:sz w:val="20"/>
                <w:szCs w:val="20"/>
              </w:rPr>
              <w:t>Spotřební materiál ve formě kazet</w:t>
            </w:r>
          </w:p>
        </w:tc>
        <w:tc>
          <w:tcPr>
            <w:tcW w:w="2268" w:type="dxa"/>
            <w:shd w:val="clear" w:color="auto" w:fill="FFFF00"/>
            <w:vAlign w:val="center"/>
          </w:tcPr>
          <w:p w14:paraId="06719043" w14:textId="631C3E69"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219D8A18" w14:textId="77777777" w:rsidTr="006D22C8">
        <w:trPr>
          <w:trHeight w:val="510"/>
        </w:trPr>
        <w:tc>
          <w:tcPr>
            <w:tcW w:w="7225" w:type="dxa"/>
            <w:vAlign w:val="center"/>
          </w:tcPr>
          <w:p w14:paraId="3333B5F3" w14:textId="1187A4B4" w:rsidR="006D22C8" w:rsidRDefault="006D22C8" w:rsidP="004A39B8">
            <w:pPr>
              <w:pStyle w:val="Bezmezer"/>
              <w:suppressAutoHyphens/>
              <w:jc w:val="both"/>
              <w:rPr>
                <w:rFonts w:cs="Arial"/>
                <w:b/>
              </w:rPr>
            </w:pPr>
            <w:r>
              <w:rPr>
                <w:rFonts w:ascii="Arial" w:hAnsi="Arial" w:cs="Arial"/>
                <w:sz w:val="20"/>
                <w:szCs w:val="20"/>
              </w:rPr>
              <w:t>Ex</w:t>
            </w:r>
            <w:r w:rsidRPr="007F208E">
              <w:rPr>
                <w:rFonts w:ascii="Arial" w:hAnsi="Arial" w:cs="Arial"/>
                <w:sz w:val="20"/>
                <w:szCs w:val="20"/>
              </w:rPr>
              <w:t>pirace spotřebního materiálu</w:t>
            </w:r>
            <w:r>
              <w:rPr>
                <w:rFonts w:ascii="Arial" w:hAnsi="Arial" w:cs="Arial"/>
                <w:sz w:val="20"/>
                <w:szCs w:val="20"/>
              </w:rPr>
              <w:t xml:space="preserve"> po vložení do analyzátoru min. 30 dní</w:t>
            </w:r>
            <w:r w:rsidRPr="007F208E">
              <w:rPr>
                <w:rFonts w:ascii="Arial" w:hAnsi="Arial" w:cs="Arial"/>
                <w:sz w:val="20"/>
                <w:szCs w:val="20"/>
              </w:rPr>
              <w:t xml:space="preserve"> </w:t>
            </w:r>
          </w:p>
        </w:tc>
        <w:tc>
          <w:tcPr>
            <w:tcW w:w="2268" w:type="dxa"/>
            <w:shd w:val="clear" w:color="auto" w:fill="FFFF00"/>
            <w:vAlign w:val="center"/>
          </w:tcPr>
          <w:p w14:paraId="61D7F6F4" w14:textId="22D5BF7E"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43C37DFC" w14:textId="77777777" w:rsidTr="006D22C8">
        <w:trPr>
          <w:trHeight w:val="510"/>
        </w:trPr>
        <w:tc>
          <w:tcPr>
            <w:tcW w:w="7225" w:type="dxa"/>
            <w:vAlign w:val="center"/>
          </w:tcPr>
          <w:p w14:paraId="2BCBD7E9" w14:textId="77777777" w:rsidR="006D22C8" w:rsidRPr="009E6F1A" w:rsidRDefault="006D22C8" w:rsidP="004A39B8">
            <w:pPr>
              <w:pStyle w:val="Bezmezer"/>
              <w:suppressAutoHyphens/>
              <w:jc w:val="both"/>
              <w:rPr>
                <w:rFonts w:ascii="Arial" w:hAnsi="Arial" w:cs="Arial"/>
                <w:sz w:val="20"/>
                <w:szCs w:val="20"/>
              </w:rPr>
            </w:pPr>
            <w:r>
              <w:rPr>
                <w:rFonts w:ascii="Arial" w:hAnsi="Arial" w:cs="Arial"/>
                <w:sz w:val="20"/>
                <w:szCs w:val="20"/>
              </w:rPr>
              <w:t>Požadované</w:t>
            </w:r>
            <w:r w:rsidRPr="009E6F1A">
              <w:rPr>
                <w:rFonts w:ascii="Arial" w:hAnsi="Arial" w:cs="Arial"/>
                <w:sz w:val="20"/>
                <w:szCs w:val="20"/>
              </w:rPr>
              <w:t xml:space="preserve"> parametry</w:t>
            </w:r>
            <w:r>
              <w:rPr>
                <w:rFonts w:ascii="Arial" w:hAnsi="Arial" w:cs="Arial"/>
                <w:sz w:val="20"/>
                <w:szCs w:val="20"/>
              </w:rPr>
              <w:t xml:space="preserve"> měřené z jednoho vzorku</w:t>
            </w:r>
            <w:r w:rsidRPr="009E6F1A">
              <w:rPr>
                <w:rFonts w:ascii="Arial" w:hAnsi="Arial" w:cs="Arial"/>
                <w:sz w:val="20"/>
                <w:szCs w:val="20"/>
              </w:rPr>
              <w:t xml:space="preserve">: </w:t>
            </w:r>
          </w:p>
          <w:p w14:paraId="72CA8C30" w14:textId="0918C00C" w:rsidR="006D22C8" w:rsidRDefault="006D22C8" w:rsidP="004A39B8">
            <w:pPr>
              <w:pStyle w:val="Bezmezer"/>
              <w:suppressAutoHyphens/>
              <w:jc w:val="both"/>
              <w:rPr>
                <w:rFonts w:ascii="Arial" w:hAnsi="Arial" w:cs="Arial"/>
                <w:sz w:val="20"/>
                <w:szCs w:val="20"/>
              </w:rPr>
            </w:pPr>
            <w:r w:rsidRPr="009E6F1A">
              <w:rPr>
                <w:rFonts w:ascii="Arial" w:hAnsi="Arial" w:cs="Arial"/>
                <w:sz w:val="20"/>
                <w:szCs w:val="20"/>
              </w:rPr>
              <w:t>pH,</w:t>
            </w:r>
            <w:r>
              <w:rPr>
                <w:rFonts w:ascii="Arial" w:hAnsi="Arial" w:cs="Arial"/>
                <w:sz w:val="20"/>
                <w:szCs w:val="20"/>
              </w:rPr>
              <w:t xml:space="preserve"> </w:t>
            </w:r>
            <w:r w:rsidRPr="009E6F1A">
              <w:rPr>
                <w:rFonts w:ascii="Arial" w:hAnsi="Arial" w:cs="Arial"/>
                <w:sz w:val="20"/>
                <w:szCs w:val="20"/>
              </w:rPr>
              <w:t>pCO</w:t>
            </w:r>
            <w:r w:rsidRPr="009E6F1A">
              <w:rPr>
                <w:rFonts w:ascii="Arial" w:hAnsi="Arial" w:cs="Arial"/>
                <w:sz w:val="20"/>
                <w:szCs w:val="20"/>
                <w:vertAlign w:val="subscript"/>
              </w:rPr>
              <w:t>2</w:t>
            </w:r>
            <w:r w:rsidRPr="009E6F1A">
              <w:rPr>
                <w:rFonts w:ascii="Arial" w:hAnsi="Arial" w:cs="Arial"/>
                <w:sz w:val="20"/>
                <w:szCs w:val="20"/>
              </w:rPr>
              <w:t>, pO</w:t>
            </w:r>
            <w:r w:rsidRPr="009E6F1A">
              <w:rPr>
                <w:rFonts w:ascii="Arial" w:hAnsi="Arial" w:cs="Arial"/>
                <w:sz w:val="20"/>
                <w:szCs w:val="20"/>
                <w:vertAlign w:val="subscript"/>
              </w:rPr>
              <w:t>2</w:t>
            </w:r>
            <w:r w:rsidRPr="009E6F1A">
              <w:rPr>
                <w:rFonts w:ascii="Arial" w:hAnsi="Arial" w:cs="Arial"/>
                <w:sz w:val="20"/>
                <w:szCs w:val="20"/>
              </w:rPr>
              <w:t>,</w:t>
            </w:r>
            <w:r>
              <w:rPr>
                <w:rFonts w:ascii="Arial" w:hAnsi="Arial" w:cs="Arial"/>
                <w:sz w:val="20"/>
                <w:szCs w:val="20"/>
              </w:rPr>
              <w:t xml:space="preserve"> </w:t>
            </w:r>
            <w:r w:rsidRPr="009E6F1A">
              <w:rPr>
                <w:rFonts w:ascii="Arial" w:hAnsi="Arial" w:cs="Arial"/>
                <w:sz w:val="20"/>
                <w:szCs w:val="20"/>
              </w:rPr>
              <w:t>Na</w:t>
            </w:r>
            <w:r w:rsidRPr="009E6F1A">
              <w:rPr>
                <w:rFonts w:ascii="Arial" w:hAnsi="Arial" w:cs="Arial"/>
                <w:sz w:val="20"/>
                <w:szCs w:val="20"/>
                <w:vertAlign w:val="superscript"/>
              </w:rPr>
              <w:t>+</w:t>
            </w:r>
            <w:r w:rsidRPr="009E6F1A">
              <w:rPr>
                <w:rFonts w:ascii="Arial" w:hAnsi="Arial" w:cs="Arial"/>
                <w:sz w:val="20"/>
                <w:szCs w:val="20"/>
              </w:rPr>
              <w:t>, K</w:t>
            </w:r>
            <w:r w:rsidRPr="009E6F1A">
              <w:rPr>
                <w:rFonts w:ascii="Arial" w:hAnsi="Arial" w:cs="Arial"/>
                <w:sz w:val="20"/>
                <w:szCs w:val="20"/>
                <w:vertAlign w:val="superscript"/>
              </w:rPr>
              <w:t>+</w:t>
            </w:r>
            <w:r w:rsidRPr="009E6F1A">
              <w:rPr>
                <w:rFonts w:ascii="Arial" w:hAnsi="Arial" w:cs="Arial"/>
                <w:sz w:val="20"/>
                <w:szCs w:val="20"/>
              </w:rPr>
              <w:t>, Cl</w:t>
            </w:r>
            <w:r w:rsidRPr="009E6F1A">
              <w:rPr>
                <w:rFonts w:ascii="Arial" w:hAnsi="Arial" w:cs="Arial"/>
                <w:sz w:val="20"/>
                <w:szCs w:val="20"/>
                <w:vertAlign w:val="superscript"/>
              </w:rPr>
              <w:t>-</w:t>
            </w:r>
            <w:r>
              <w:rPr>
                <w:rFonts w:ascii="Arial" w:hAnsi="Arial" w:cs="Arial"/>
                <w:sz w:val="20"/>
                <w:szCs w:val="20"/>
              </w:rPr>
              <w:t>, Ca</w:t>
            </w:r>
            <w:r w:rsidRPr="008A5B4D">
              <w:rPr>
                <w:rFonts w:ascii="Arial" w:hAnsi="Arial" w:cs="Arial"/>
                <w:sz w:val="20"/>
                <w:szCs w:val="20"/>
                <w:vertAlign w:val="superscript"/>
              </w:rPr>
              <w:t>2+</w:t>
            </w:r>
            <w:r w:rsidRPr="008A5B4D">
              <w:rPr>
                <w:rFonts w:ascii="Arial" w:hAnsi="Arial" w:cs="Arial"/>
                <w:sz w:val="20"/>
                <w:szCs w:val="20"/>
              </w:rPr>
              <w:t>,</w:t>
            </w:r>
            <w:r>
              <w:rPr>
                <w:rFonts w:ascii="Arial" w:hAnsi="Arial" w:cs="Arial"/>
                <w:sz w:val="20"/>
                <w:szCs w:val="20"/>
                <w:vertAlign w:val="superscript"/>
              </w:rPr>
              <w:t xml:space="preserve"> </w:t>
            </w:r>
            <w:r>
              <w:rPr>
                <w:rFonts w:ascii="Arial" w:hAnsi="Arial" w:cs="Arial"/>
                <w:sz w:val="20"/>
                <w:szCs w:val="20"/>
              </w:rPr>
              <w:t xml:space="preserve">laktát, glukóza, </w:t>
            </w:r>
            <w:r w:rsidRPr="009E6F1A">
              <w:rPr>
                <w:rFonts w:ascii="Arial" w:hAnsi="Arial" w:cs="Arial"/>
                <w:sz w:val="20"/>
                <w:szCs w:val="20"/>
              </w:rPr>
              <w:t>sO</w:t>
            </w:r>
            <w:r w:rsidRPr="009E6F1A">
              <w:rPr>
                <w:rFonts w:ascii="Arial" w:hAnsi="Arial" w:cs="Arial"/>
                <w:sz w:val="20"/>
                <w:szCs w:val="20"/>
                <w:vertAlign w:val="subscript"/>
              </w:rPr>
              <w:t>2</w:t>
            </w:r>
            <w:r>
              <w:rPr>
                <w:rFonts w:ascii="Arial" w:hAnsi="Arial" w:cs="Arial"/>
                <w:sz w:val="20"/>
                <w:szCs w:val="20"/>
                <w:vertAlign w:val="subscript"/>
              </w:rPr>
              <w:t xml:space="preserve">, </w:t>
            </w:r>
            <w:proofErr w:type="spellStart"/>
            <w:r w:rsidRPr="00B66060">
              <w:rPr>
                <w:rFonts w:ascii="Arial" w:hAnsi="Arial" w:cs="Arial"/>
                <w:i/>
                <w:sz w:val="20"/>
                <w:szCs w:val="20"/>
              </w:rPr>
              <w:t>c</w:t>
            </w:r>
            <w:r w:rsidRPr="00B66060">
              <w:rPr>
                <w:rFonts w:ascii="Arial" w:hAnsi="Arial" w:cs="Arial"/>
                <w:sz w:val="20"/>
                <w:szCs w:val="20"/>
              </w:rPr>
              <w:t>tHb</w:t>
            </w:r>
            <w:proofErr w:type="spellEnd"/>
            <w:r>
              <w:rPr>
                <w:rFonts w:ascii="Arial" w:hAnsi="Arial" w:cs="Arial"/>
                <w:sz w:val="20"/>
                <w:szCs w:val="20"/>
              </w:rPr>
              <w:t xml:space="preserve">, </w:t>
            </w:r>
            <w:proofErr w:type="spellStart"/>
            <w:r w:rsidRPr="009E6F1A">
              <w:rPr>
                <w:rFonts w:ascii="Arial" w:hAnsi="Arial" w:cs="Arial"/>
                <w:sz w:val="20"/>
                <w:szCs w:val="20"/>
              </w:rPr>
              <w:t>COHb</w:t>
            </w:r>
            <w:proofErr w:type="spellEnd"/>
            <w:r w:rsidRPr="009E6F1A">
              <w:rPr>
                <w:rFonts w:ascii="Arial" w:hAnsi="Arial" w:cs="Arial"/>
                <w:sz w:val="20"/>
                <w:szCs w:val="20"/>
              </w:rPr>
              <w:t xml:space="preserve">, </w:t>
            </w:r>
            <w:r w:rsidRPr="00DE5F85">
              <w:rPr>
                <w:rFonts w:ascii="Arial" w:hAnsi="Arial" w:cs="Arial"/>
                <w:sz w:val="20"/>
                <w:szCs w:val="20"/>
              </w:rPr>
              <w:t>O</w:t>
            </w:r>
            <w:r w:rsidRPr="00DE5F85">
              <w:rPr>
                <w:rFonts w:ascii="Arial" w:hAnsi="Arial" w:cs="Arial"/>
                <w:sz w:val="20"/>
                <w:szCs w:val="20"/>
                <w:vertAlign w:val="subscript"/>
              </w:rPr>
              <w:t>2</w:t>
            </w:r>
            <w:r w:rsidRPr="00DE5F85">
              <w:rPr>
                <w:rFonts w:ascii="Arial" w:hAnsi="Arial" w:cs="Arial"/>
                <w:sz w:val="20"/>
                <w:szCs w:val="20"/>
              </w:rPr>
              <w:t>Hb</w:t>
            </w:r>
            <w:r>
              <w:rPr>
                <w:rFonts w:ascii="Arial" w:hAnsi="Arial" w:cs="Arial"/>
                <w:sz w:val="20"/>
                <w:szCs w:val="20"/>
              </w:rPr>
              <w:t xml:space="preserve">, </w:t>
            </w:r>
            <w:proofErr w:type="spellStart"/>
            <w:r w:rsidRPr="009E6F1A">
              <w:rPr>
                <w:rFonts w:ascii="Arial" w:hAnsi="Arial" w:cs="Arial"/>
                <w:sz w:val="20"/>
                <w:szCs w:val="20"/>
              </w:rPr>
              <w:t>MetHb</w:t>
            </w:r>
            <w:proofErr w:type="spellEnd"/>
            <w:r w:rsidRPr="009E6F1A">
              <w:rPr>
                <w:rFonts w:ascii="Arial" w:hAnsi="Arial" w:cs="Arial"/>
                <w:sz w:val="20"/>
                <w:szCs w:val="20"/>
              </w:rPr>
              <w:t xml:space="preserve">, </w:t>
            </w:r>
            <w:proofErr w:type="spellStart"/>
            <w:r w:rsidRPr="009E6F1A">
              <w:rPr>
                <w:rFonts w:ascii="Arial" w:hAnsi="Arial" w:cs="Arial"/>
                <w:sz w:val="20"/>
                <w:szCs w:val="20"/>
              </w:rPr>
              <w:t>HHb</w:t>
            </w:r>
            <w:proofErr w:type="spellEnd"/>
            <w:r>
              <w:rPr>
                <w:rFonts w:ascii="Arial" w:hAnsi="Arial" w:cs="Arial"/>
                <w:sz w:val="20"/>
                <w:szCs w:val="20"/>
              </w:rPr>
              <w:t xml:space="preserve">, </w:t>
            </w:r>
            <w:proofErr w:type="spellStart"/>
            <w:r>
              <w:rPr>
                <w:rFonts w:ascii="Arial" w:hAnsi="Arial" w:cs="Arial"/>
                <w:sz w:val="20"/>
                <w:szCs w:val="20"/>
              </w:rPr>
              <w:t>HbF</w:t>
            </w:r>
            <w:proofErr w:type="spellEnd"/>
            <w:r>
              <w:rPr>
                <w:rFonts w:ascii="Arial" w:hAnsi="Arial" w:cs="Arial"/>
                <w:sz w:val="20"/>
                <w:szCs w:val="20"/>
              </w:rPr>
              <w:t>, Bil</w:t>
            </w:r>
          </w:p>
        </w:tc>
        <w:tc>
          <w:tcPr>
            <w:tcW w:w="2268" w:type="dxa"/>
            <w:shd w:val="clear" w:color="auto" w:fill="FFFF00"/>
            <w:vAlign w:val="center"/>
          </w:tcPr>
          <w:p w14:paraId="5F710193" w14:textId="5146A11B"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7FE78E3C" w14:textId="77777777" w:rsidTr="006D22C8">
        <w:trPr>
          <w:trHeight w:val="510"/>
        </w:trPr>
        <w:tc>
          <w:tcPr>
            <w:tcW w:w="7225" w:type="dxa"/>
            <w:vAlign w:val="center"/>
          </w:tcPr>
          <w:p w14:paraId="2457A46C" w14:textId="1D262DE5" w:rsidR="006D22C8" w:rsidRDefault="006D22C8" w:rsidP="004A39B8">
            <w:pPr>
              <w:pStyle w:val="Bezmezer"/>
              <w:suppressAutoHyphens/>
              <w:jc w:val="both"/>
              <w:rPr>
                <w:rFonts w:ascii="Arial" w:hAnsi="Arial" w:cs="Arial"/>
                <w:sz w:val="20"/>
                <w:szCs w:val="20"/>
              </w:rPr>
            </w:pPr>
            <w:r w:rsidRPr="007F208E">
              <w:rPr>
                <w:rFonts w:ascii="Arial" w:hAnsi="Arial" w:cs="Arial"/>
                <w:sz w:val="20"/>
                <w:szCs w:val="20"/>
              </w:rPr>
              <w:t xml:space="preserve">Možnost rozšíření měřených parametrů o </w:t>
            </w:r>
            <w:r>
              <w:rPr>
                <w:rFonts w:ascii="Arial" w:hAnsi="Arial" w:cs="Arial"/>
                <w:sz w:val="20"/>
                <w:szCs w:val="20"/>
              </w:rPr>
              <w:t xml:space="preserve">urea a </w:t>
            </w:r>
            <w:proofErr w:type="spellStart"/>
            <w:r>
              <w:rPr>
                <w:rFonts w:ascii="Arial" w:hAnsi="Arial" w:cs="Arial"/>
                <w:sz w:val="20"/>
                <w:szCs w:val="20"/>
              </w:rPr>
              <w:t>crea</w:t>
            </w:r>
            <w:proofErr w:type="spellEnd"/>
          </w:p>
        </w:tc>
        <w:tc>
          <w:tcPr>
            <w:tcW w:w="2268" w:type="dxa"/>
            <w:shd w:val="clear" w:color="auto" w:fill="FFFF00"/>
            <w:vAlign w:val="center"/>
          </w:tcPr>
          <w:p w14:paraId="514B8F10" w14:textId="09D426BC"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7B298E6A" w14:textId="77777777" w:rsidTr="006D22C8">
        <w:trPr>
          <w:trHeight w:val="510"/>
        </w:trPr>
        <w:tc>
          <w:tcPr>
            <w:tcW w:w="7225" w:type="dxa"/>
            <w:vAlign w:val="center"/>
          </w:tcPr>
          <w:p w14:paraId="70580AFB" w14:textId="0832F8D3" w:rsidR="006D22C8" w:rsidRDefault="006D22C8" w:rsidP="004A39B8">
            <w:pPr>
              <w:pStyle w:val="Bezmezer"/>
              <w:suppressAutoHyphens/>
              <w:jc w:val="both"/>
              <w:rPr>
                <w:rFonts w:cs="Arial"/>
                <w:b/>
              </w:rPr>
            </w:pPr>
            <w:r>
              <w:rPr>
                <w:rFonts w:ascii="Arial" w:hAnsi="Arial" w:cs="Arial"/>
                <w:sz w:val="20"/>
                <w:szCs w:val="20"/>
              </w:rPr>
              <w:t>O</w:t>
            </w:r>
            <w:r w:rsidRPr="007F208E">
              <w:rPr>
                <w:rFonts w:ascii="Arial" w:hAnsi="Arial" w:cs="Arial"/>
                <w:sz w:val="20"/>
                <w:szCs w:val="20"/>
              </w:rPr>
              <w:t>bjem vzorku pro všechny požadované parametry</w:t>
            </w:r>
            <w:r>
              <w:rPr>
                <w:rFonts w:ascii="Arial" w:hAnsi="Arial" w:cs="Arial"/>
                <w:sz w:val="20"/>
                <w:szCs w:val="20"/>
              </w:rPr>
              <w:t xml:space="preserve"> včetně plné </w:t>
            </w:r>
            <w:proofErr w:type="spellStart"/>
            <w:r>
              <w:rPr>
                <w:rFonts w:ascii="Arial" w:hAnsi="Arial" w:cs="Arial"/>
                <w:sz w:val="20"/>
                <w:szCs w:val="20"/>
              </w:rPr>
              <w:t>oxymetrie</w:t>
            </w:r>
            <w:proofErr w:type="spellEnd"/>
            <w:r w:rsidRPr="007F208E">
              <w:rPr>
                <w:rFonts w:ascii="Arial" w:hAnsi="Arial" w:cs="Arial"/>
                <w:sz w:val="20"/>
                <w:szCs w:val="20"/>
              </w:rPr>
              <w:t xml:space="preserve"> ze stříkačky a kapiláry </w:t>
            </w:r>
            <w:r>
              <w:rPr>
                <w:rFonts w:ascii="Arial" w:hAnsi="Arial" w:cs="Arial"/>
                <w:sz w:val="20"/>
                <w:szCs w:val="20"/>
              </w:rPr>
              <w:t>do 80 µl</w:t>
            </w:r>
          </w:p>
        </w:tc>
        <w:tc>
          <w:tcPr>
            <w:tcW w:w="2268" w:type="dxa"/>
            <w:shd w:val="clear" w:color="auto" w:fill="FFFF00"/>
            <w:vAlign w:val="center"/>
          </w:tcPr>
          <w:p w14:paraId="7CAA3066" w14:textId="3C08133D"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123DDBBC" w14:textId="77777777" w:rsidTr="006D22C8">
        <w:trPr>
          <w:trHeight w:val="510"/>
        </w:trPr>
        <w:tc>
          <w:tcPr>
            <w:tcW w:w="7225" w:type="dxa"/>
          </w:tcPr>
          <w:p w14:paraId="4F06E675" w14:textId="6576C0F8" w:rsidR="006D22C8" w:rsidRDefault="006D22C8" w:rsidP="004A39B8">
            <w:pPr>
              <w:pStyle w:val="Bezmezer"/>
              <w:suppressAutoHyphens/>
              <w:jc w:val="both"/>
              <w:rPr>
                <w:rFonts w:cs="Arial"/>
                <w:b/>
              </w:rPr>
            </w:pPr>
            <w:r w:rsidRPr="007F208E">
              <w:rPr>
                <w:rFonts w:ascii="Arial" w:hAnsi="Arial" w:cs="Arial"/>
                <w:sz w:val="20"/>
                <w:szCs w:val="20"/>
              </w:rPr>
              <w:t>Možnost měření</w:t>
            </w:r>
            <w:r>
              <w:rPr>
                <w:rFonts w:ascii="Arial" w:hAnsi="Arial" w:cs="Arial"/>
                <w:sz w:val="20"/>
                <w:szCs w:val="20"/>
              </w:rPr>
              <w:t xml:space="preserve"> všech požadovaných parametrů včetně </w:t>
            </w:r>
            <w:proofErr w:type="spellStart"/>
            <w:r>
              <w:rPr>
                <w:rFonts w:ascii="Arial" w:hAnsi="Arial" w:cs="Arial"/>
                <w:sz w:val="20"/>
                <w:szCs w:val="20"/>
              </w:rPr>
              <w:t>oxymetrie</w:t>
            </w:r>
            <w:proofErr w:type="spellEnd"/>
            <w:r w:rsidRPr="007F208E">
              <w:rPr>
                <w:rFonts w:ascii="Arial" w:hAnsi="Arial" w:cs="Arial"/>
                <w:sz w:val="20"/>
                <w:szCs w:val="20"/>
              </w:rPr>
              <w:t xml:space="preserve"> v </w:t>
            </w:r>
            <w:proofErr w:type="spellStart"/>
            <w:r w:rsidRPr="007F208E">
              <w:rPr>
                <w:rFonts w:ascii="Arial" w:hAnsi="Arial" w:cs="Arial"/>
                <w:sz w:val="20"/>
                <w:szCs w:val="20"/>
              </w:rPr>
              <w:t>mikromódu</w:t>
            </w:r>
            <w:proofErr w:type="spellEnd"/>
            <w:r w:rsidRPr="007F208E">
              <w:rPr>
                <w:rFonts w:ascii="Arial" w:hAnsi="Arial" w:cs="Arial"/>
                <w:sz w:val="20"/>
                <w:szCs w:val="20"/>
              </w:rPr>
              <w:t xml:space="preserve"> ze stříkačky a kapiláry </w:t>
            </w:r>
            <w:r>
              <w:rPr>
                <w:rFonts w:ascii="Arial" w:hAnsi="Arial" w:cs="Arial"/>
                <w:sz w:val="20"/>
                <w:szCs w:val="20"/>
              </w:rPr>
              <w:t>– méně než</w:t>
            </w:r>
            <w:r w:rsidRPr="007F208E">
              <w:rPr>
                <w:rFonts w:ascii="Arial" w:hAnsi="Arial" w:cs="Arial"/>
                <w:sz w:val="20"/>
                <w:szCs w:val="20"/>
              </w:rPr>
              <w:t xml:space="preserve"> </w:t>
            </w:r>
            <w:r>
              <w:rPr>
                <w:rFonts w:ascii="Arial" w:hAnsi="Arial" w:cs="Arial"/>
                <w:sz w:val="20"/>
                <w:szCs w:val="20"/>
              </w:rPr>
              <w:t>50</w:t>
            </w:r>
            <w:r w:rsidRPr="007F208E">
              <w:rPr>
                <w:rFonts w:ascii="Arial" w:hAnsi="Arial" w:cs="Arial"/>
                <w:sz w:val="20"/>
                <w:szCs w:val="20"/>
              </w:rPr>
              <w:t xml:space="preserve"> µl</w:t>
            </w:r>
            <w:r>
              <w:rPr>
                <w:rFonts w:ascii="Arial" w:hAnsi="Arial" w:cs="Arial"/>
                <w:sz w:val="20"/>
                <w:szCs w:val="20"/>
              </w:rPr>
              <w:t xml:space="preserve"> krve</w:t>
            </w:r>
          </w:p>
        </w:tc>
        <w:tc>
          <w:tcPr>
            <w:tcW w:w="2268" w:type="dxa"/>
            <w:shd w:val="clear" w:color="auto" w:fill="FFFF00"/>
            <w:vAlign w:val="center"/>
          </w:tcPr>
          <w:p w14:paraId="56C3EB06" w14:textId="7C3B75BC"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4CB32B36" w14:textId="77777777" w:rsidTr="006D22C8">
        <w:trPr>
          <w:trHeight w:val="510"/>
        </w:trPr>
        <w:tc>
          <w:tcPr>
            <w:tcW w:w="7225" w:type="dxa"/>
          </w:tcPr>
          <w:p w14:paraId="17028D1C" w14:textId="210994F9" w:rsidR="006D22C8" w:rsidRDefault="006D22C8" w:rsidP="004A39B8">
            <w:pPr>
              <w:pStyle w:val="Bezmezer"/>
              <w:suppressAutoHyphens/>
              <w:jc w:val="both"/>
              <w:rPr>
                <w:rFonts w:cs="Arial"/>
                <w:b/>
              </w:rPr>
            </w:pPr>
            <w:r w:rsidRPr="007F208E">
              <w:rPr>
                <w:rFonts w:ascii="Arial" w:eastAsia="Times New Roman" w:hAnsi="Arial" w:cs="Arial"/>
                <w:sz w:val="20"/>
                <w:szCs w:val="20"/>
                <w:lang w:eastAsia="cs-CZ"/>
              </w:rPr>
              <w:t xml:space="preserve">Doba trvání kompletní analýzy vzorku </w:t>
            </w:r>
            <w:r>
              <w:rPr>
                <w:rFonts w:ascii="Arial" w:eastAsia="Times New Roman" w:hAnsi="Arial" w:cs="Arial"/>
                <w:sz w:val="20"/>
                <w:szCs w:val="20"/>
                <w:lang w:eastAsia="cs-CZ"/>
              </w:rPr>
              <w:t>do 60 sekund</w:t>
            </w:r>
          </w:p>
        </w:tc>
        <w:tc>
          <w:tcPr>
            <w:tcW w:w="2268" w:type="dxa"/>
            <w:shd w:val="clear" w:color="auto" w:fill="FFFF00"/>
            <w:vAlign w:val="center"/>
          </w:tcPr>
          <w:p w14:paraId="57EC1EA5" w14:textId="521708F3"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0DCAD61F" w14:textId="77777777" w:rsidTr="006D22C8">
        <w:trPr>
          <w:trHeight w:val="510"/>
        </w:trPr>
        <w:tc>
          <w:tcPr>
            <w:tcW w:w="7225" w:type="dxa"/>
            <w:vAlign w:val="center"/>
          </w:tcPr>
          <w:p w14:paraId="0A42B812" w14:textId="22FD9C45" w:rsidR="006D22C8" w:rsidRPr="007F208E" w:rsidRDefault="006D22C8" w:rsidP="004A39B8">
            <w:pPr>
              <w:pStyle w:val="Bezmezer"/>
              <w:suppressAutoHyphens/>
              <w:jc w:val="both"/>
              <w:rPr>
                <w:rFonts w:ascii="Arial" w:hAnsi="Arial" w:cs="Arial"/>
                <w:sz w:val="20"/>
                <w:szCs w:val="20"/>
              </w:rPr>
            </w:pPr>
            <w:r w:rsidRPr="007F208E">
              <w:rPr>
                <w:rFonts w:ascii="Arial" w:hAnsi="Arial" w:cs="Arial"/>
                <w:sz w:val="20"/>
                <w:szCs w:val="20"/>
              </w:rPr>
              <w:t>Integrovaný mixér pro automatické míchání vzorků</w:t>
            </w:r>
            <w:r>
              <w:rPr>
                <w:rFonts w:ascii="Arial" w:hAnsi="Arial" w:cs="Arial"/>
                <w:sz w:val="20"/>
                <w:szCs w:val="20"/>
              </w:rPr>
              <w:t xml:space="preserve"> snižující riziko </w:t>
            </w:r>
            <w:proofErr w:type="spellStart"/>
            <w:r>
              <w:rPr>
                <w:rFonts w:ascii="Arial" w:hAnsi="Arial" w:cs="Arial"/>
                <w:sz w:val="20"/>
                <w:szCs w:val="20"/>
              </w:rPr>
              <w:t>preanalytických</w:t>
            </w:r>
            <w:proofErr w:type="spellEnd"/>
            <w:r>
              <w:rPr>
                <w:rFonts w:ascii="Arial" w:hAnsi="Arial" w:cs="Arial"/>
                <w:sz w:val="20"/>
                <w:szCs w:val="20"/>
              </w:rPr>
              <w:t xml:space="preserve"> chyb</w:t>
            </w:r>
          </w:p>
        </w:tc>
        <w:tc>
          <w:tcPr>
            <w:tcW w:w="2268" w:type="dxa"/>
            <w:shd w:val="clear" w:color="auto" w:fill="FFFF00"/>
            <w:vAlign w:val="center"/>
          </w:tcPr>
          <w:p w14:paraId="3C9C3459" w14:textId="3CB2828A"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0C2F45E0" w14:textId="77777777" w:rsidTr="006D22C8">
        <w:trPr>
          <w:trHeight w:val="510"/>
        </w:trPr>
        <w:tc>
          <w:tcPr>
            <w:tcW w:w="7225" w:type="dxa"/>
            <w:vAlign w:val="center"/>
          </w:tcPr>
          <w:p w14:paraId="16A7D5D9" w14:textId="6679EF59" w:rsidR="006D22C8" w:rsidRPr="007F208E" w:rsidRDefault="006D22C8" w:rsidP="004A39B8">
            <w:pPr>
              <w:pStyle w:val="Bezmezer"/>
              <w:suppressAutoHyphens/>
              <w:jc w:val="both"/>
              <w:rPr>
                <w:rFonts w:ascii="Arial" w:hAnsi="Arial" w:cs="Arial"/>
                <w:sz w:val="20"/>
                <w:szCs w:val="20"/>
              </w:rPr>
            </w:pPr>
            <w:r w:rsidRPr="007F208E">
              <w:rPr>
                <w:rFonts w:ascii="Arial" w:hAnsi="Arial" w:cs="Arial"/>
                <w:sz w:val="20"/>
                <w:szCs w:val="20"/>
              </w:rPr>
              <w:t>Signalizace výměny spotřebních materiálů</w:t>
            </w:r>
          </w:p>
        </w:tc>
        <w:tc>
          <w:tcPr>
            <w:tcW w:w="2268" w:type="dxa"/>
            <w:shd w:val="clear" w:color="auto" w:fill="FFFF00"/>
            <w:vAlign w:val="center"/>
          </w:tcPr>
          <w:p w14:paraId="3FC39CC1" w14:textId="60FC5A15"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B66060" w:rsidRPr="00833D8E" w14:paraId="223E7061" w14:textId="77777777" w:rsidTr="006D22C8">
        <w:trPr>
          <w:trHeight w:val="510"/>
        </w:trPr>
        <w:tc>
          <w:tcPr>
            <w:tcW w:w="9493" w:type="dxa"/>
            <w:gridSpan w:val="2"/>
            <w:shd w:val="clear" w:color="auto" w:fill="BDD6EE" w:themeFill="accent1" w:themeFillTint="66"/>
            <w:vAlign w:val="center"/>
          </w:tcPr>
          <w:p w14:paraId="2F6DCC2C" w14:textId="100EE52D" w:rsidR="00B66060" w:rsidRPr="009E6F1A" w:rsidRDefault="00B66060" w:rsidP="00B66060">
            <w:pPr>
              <w:pStyle w:val="Bezmezer"/>
              <w:suppressAutoHyphens/>
              <w:jc w:val="center"/>
              <w:rPr>
                <w:rFonts w:ascii="Arial" w:hAnsi="Arial" w:cs="Arial"/>
                <w:sz w:val="20"/>
                <w:szCs w:val="20"/>
              </w:rPr>
            </w:pPr>
            <w:r w:rsidRPr="00A12304">
              <w:rPr>
                <w:rFonts w:ascii="Arial" w:hAnsi="Arial" w:cs="Arial"/>
                <w:b/>
                <w:bCs/>
                <w:sz w:val="20"/>
                <w:szCs w:val="20"/>
              </w:rPr>
              <w:t>Společné technické požadavky pro oba typy analyzátorů</w:t>
            </w:r>
          </w:p>
        </w:tc>
      </w:tr>
      <w:tr w:rsidR="006D22C8" w:rsidRPr="00833D8E" w14:paraId="7B830BBC" w14:textId="5B25B73F" w:rsidTr="006D22C8">
        <w:trPr>
          <w:trHeight w:val="510"/>
        </w:trPr>
        <w:tc>
          <w:tcPr>
            <w:tcW w:w="7225" w:type="dxa"/>
            <w:vAlign w:val="center"/>
          </w:tcPr>
          <w:p w14:paraId="39B441EB" w14:textId="4CAD41E4" w:rsidR="006D22C8" w:rsidRPr="009E6F1A" w:rsidRDefault="006D22C8" w:rsidP="004A39B8">
            <w:pPr>
              <w:pStyle w:val="Bezmezer"/>
              <w:suppressAutoHyphens/>
              <w:jc w:val="both"/>
              <w:rPr>
                <w:rFonts w:ascii="Arial" w:hAnsi="Arial" w:cs="Arial"/>
                <w:sz w:val="20"/>
                <w:szCs w:val="20"/>
              </w:rPr>
            </w:pPr>
            <w:proofErr w:type="spellStart"/>
            <w:r>
              <w:rPr>
                <w:rFonts w:ascii="Arial" w:hAnsi="Arial" w:cs="Arial"/>
                <w:sz w:val="20"/>
                <w:szCs w:val="20"/>
              </w:rPr>
              <w:t>Oxymet</w:t>
            </w:r>
            <w:r w:rsidRPr="009E6F1A">
              <w:rPr>
                <w:rFonts w:ascii="Arial" w:hAnsi="Arial" w:cs="Arial"/>
                <w:sz w:val="20"/>
                <w:szCs w:val="20"/>
              </w:rPr>
              <w:t>r</w:t>
            </w:r>
            <w:proofErr w:type="spellEnd"/>
            <w:r w:rsidRPr="009E6F1A">
              <w:rPr>
                <w:rFonts w:ascii="Arial" w:hAnsi="Arial" w:cs="Arial"/>
                <w:sz w:val="20"/>
                <w:szCs w:val="20"/>
              </w:rPr>
              <w:t xml:space="preserve"> s automatickým potlačením a korekcí na</w:t>
            </w:r>
            <w:r>
              <w:rPr>
                <w:rFonts w:ascii="Arial" w:hAnsi="Arial" w:cs="Arial"/>
                <w:sz w:val="20"/>
                <w:szCs w:val="20"/>
              </w:rPr>
              <w:t> </w:t>
            </w:r>
            <w:r w:rsidRPr="009E6F1A">
              <w:rPr>
                <w:rFonts w:ascii="Arial" w:hAnsi="Arial" w:cs="Arial"/>
                <w:sz w:val="20"/>
                <w:szCs w:val="20"/>
              </w:rPr>
              <w:t>interferující látky.</w:t>
            </w:r>
          </w:p>
        </w:tc>
        <w:tc>
          <w:tcPr>
            <w:tcW w:w="2268" w:type="dxa"/>
            <w:shd w:val="clear" w:color="auto" w:fill="FFFF00"/>
            <w:vAlign w:val="center"/>
          </w:tcPr>
          <w:p w14:paraId="4AC0D149" w14:textId="28857C9F"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7AA9A45A" w14:textId="77777777" w:rsidTr="006D22C8">
        <w:trPr>
          <w:trHeight w:val="510"/>
        </w:trPr>
        <w:tc>
          <w:tcPr>
            <w:tcW w:w="7225" w:type="dxa"/>
            <w:vAlign w:val="center"/>
          </w:tcPr>
          <w:p w14:paraId="05AB1BF1" w14:textId="21FA7468" w:rsidR="006D22C8" w:rsidRDefault="006D22C8" w:rsidP="004A39B8">
            <w:pPr>
              <w:pStyle w:val="Bezmezer"/>
              <w:suppressAutoHyphens/>
              <w:jc w:val="both"/>
              <w:rPr>
                <w:rFonts w:ascii="Arial" w:hAnsi="Arial" w:cs="Arial"/>
                <w:sz w:val="20"/>
                <w:szCs w:val="20"/>
              </w:rPr>
            </w:pPr>
            <w:r w:rsidRPr="00605916">
              <w:rPr>
                <w:rFonts w:ascii="Arial" w:hAnsi="Arial" w:cs="Arial"/>
                <w:sz w:val="20"/>
                <w:szCs w:val="20"/>
              </w:rPr>
              <w:t>Rozsah měření Ca</w:t>
            </w:r>
            <w:r w:rsidRPr="00605916">
              <w:rPr>
                <w:rFonts w:ascii="Arial" w:hAnsi="Arial" w:cs="Arial"/>
                <w:sz w:val="20"/>
                <w:szCs w:val="20"/>
                <w:vertAlign w:val="superscript"/>
              </w:rPr>
              <w:t>2+</w:t>
            </w:r>
            <w:r w:rsidRPr="00605916">
              <w:rPr>
                <w:rFonts w:ascii="Arial" w:hAnsi="Arial" w:cs="Arial"/>
                <w:sz w:val="20"/>
                <w:szCs w:val="20"/>
              </w:rPr>
              <w:t xml:space="preserve"> od 0,1 </w:t>
            </w:r>
            <w:proofErr w:type="spellStart"/>
            <w:r w:rsidRPr="00605916">
              <w:rPr>
                <w:rFonts w:ascii="Arial" w:hAnsi="Arial" w:cs="Arial"/>
                <w:sz w:val="20"/>
                <w:szCs w:val="20"/>
              </w:rPr>
              <w:t>mmol</w:t>
            </w:r>
            <w:proofErr w:type="spellEnd"/>
            <w:r w:rsidRPr="00605916">
              <w:rPr>
                <w:rFonts w:ascii="Arial" w:hAnsi="Arial" w:cs="Arial"/>
                <w:sz w:val="20"/>
                <w:szCs w:val="20"/>
              </w:rPr>
              <w:t>/l</w:t>
            </w:r>
          </w:p>
        </w:tc>
        <w:tc>
          <w:tcPr>
            <w:tcW w:w="2268" w:type="dxa"/>
            <w:shd w:val="clear" w:color="auto" w:fill="FFFF00"/>
            <w:vAlign w:val="center"/>
          </w:tcPr>
          <w:p w14:paraId="105B9F5B" w14:textId="4585B3E9"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58BEF3E0" w14:textId="02DBCE65" w:rsidTr="006D22C8">
        <w:trPr>
          <w:trHeight w:val="510"/>
        </w:trPr>
        <w:tc>
          <w:tcPr>
            <w:tcW w:w="7225" w:type="dxa"/>
            <w:vAlign w:val="center"/>
          </w:tcPr>
          <w:p w14:paraId="6D661B9D" w14:textId="69DE7202" w:rsidR="006D22C8" w:rsidRPr="009E6F1A" w:rsidRDefault="006D22C8" w:rsidP="004A39B8">
            <w:pPr>
              <w:pStyle w:val="Bezmezer"/>
              <w:suppressAutoHyphens/>
              <w:jc w:val="both"/>
              <w:rPr>
                <w:rFonts w:ascii="Arial" w:hAnsi="Arial" w:cs="Arial"/>
                <w:sz w:val="20"/>
                <w:szCs w:val="20"/>
              </w:rPr>
            </w:pPr>
            <w:r w:rsidRPr="009E6F1A">
              <w:rPr>
                <w:rFonts w:ascii="Arial" w:hAnsi="Arial" w:cs="Arial"/>
                <w:sz w:val="20"/>
                <w:szCs w:val="20"/>
              </w:rPr>
              <w:t xml:space="preserve">Detekce chyb při nasátí vzorků (homogenita, </w:t>
            </w:r>
            <w:r>
              <w:rPr>
                <w:rFonts w:ascii="Arial" w:hAnsi="Arial" w:cs="Arial"/>
                <w:sz w:val="20"/>
                <w:szCs w:val="20"/>
              </w:rPr>
              <w:t xml:space="preserve">vzduchové </w:t>
            </w:r>
            <w:r w:rsidRPr="009E6F1A">
              <w:rPr>
                <w:rFonts w:ascii="Arial" w:hAnsi="Arial" w:cs="Arial"/>
                <w:sz w:val="20"/>
                <w:szCs w:val="20"/>
              </w:rPr>
              <w:t>bubliny, sraženiny, množství</w:t>
            </w:r>
            <w:r>
              <w:rPr>
                <w:rFonts w:ascii="Arial" w:hAnsi="Arial" w:cs="Arial"/>
                <w:sz w:val="20"/>
                <w:szCs w:val="20"/>
              </w:rPr>
              <w:t xml:space="preserve"> vzorku</w:t>
            </w:r>
            <w:r w:rsidRPr="009E6F1A">
              <w:rPr>
                <w:rFonts w:ascii="Arial" w:hAnsi="Arial" w:cs="Arial"/>
                <w:sz w:val="20"/>
                <w:szCs w:val="20"/>
              </w:rPr>
              <w:t>).</w:t>
            </w:r>
          </w:p>
        </w:tc>
        <w:tc>
          <w:tcPr>
            <w:tcW w:w="2268" w:type="dxa"/>
            <w:shd w:val="clear" w:color="auto" w:fill="FFFF00"/>
            <w:vAlign w:val="center"/>
          </w:tcPr>
          <w:p w14:paraId="1F720DBB" w14:textId="684261C8"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00B2C44F" w14:textId="5595FB5A" w:rsidTr="006D22C8">
        <w:trPr>
          <w:trHeight w:val="510"/>
        </w:trPr>
        <w:tc>
          <w:tcPr>
            <w:tcW w:w="7225" w:type="dxa"/>
            <w:vAlign w:val="center"/>
          </w:tcPr>
          <w:p w14:paraId="1ED6F752" w14:textId="77777777" w:rsidR="006D22C8" w:rsidRDefault="006D22C8" w:rsidP="004A39B8">
            <w:pPr>
              <w:pStyle w:val="Bezmezer"/>
              <w:suppressAutoHyphens/>
              <w:jc w:val="both"/>
              <w:rPr>
                <w:rFonts w:ascii="Arial" w:hAnsi="Arial" w:cs="Arial"/>
                <w:sz w:val="20"/>
                <w:szCs w:val="20"/>
              </w:rPr>
            </w:pPr>
            <w:r w:rsidRPr="009E6F1A">
              <w:rPr>
                <w:rFonts w:ascii="Arial" w:hAnsi="Arial" w:cs="Arial"/>
                <w:sz w:val="20"/>
                <w:szCs w:val="20"/>
              </w:rPr>
              <w:t xml:space="preserve">Automatická kontrola kvality na minimálně 3 koncentračních úrovních, </w:t>
            </w:r>
            <w:proofErr w:type="spellStart"/>
            <w:r w:rsidRPr="009E6F1A">
              <w:rPr>
                <w:rFonts w:ascii="Arial" w:hAnsi="Arial" w:cs="Arial"/>
                <w:sz w:val="20"/>
                <w:szCs w:val="20"/>
              </w:rPr>
              <w:t>multiparametrové</w:t>
            </w:r>
            <w:proofErr w:type="spellEnd"/>
            <w:r w:rsidRPr="009E6F1A">
              <w:rPr>
                <w:rFonts w:ascii="Arial" w:hAnsi="Arial" w:cs="Arial"/>
                <w:sz w:val="20"/>
                <w:szCs w:val="20"/>
              </w:rPr>
              <w:t xml:space="preserve"> kontroly </w:t>
            </w:r>
            <w:r>
              <w:rPr>
                <w:rFonts w:ascii="Arial" w:hAnsi="Arial" w:cs="Arial"/>
                <w:sz w:val="20"/>
                <w:szCs w:val="20"/>
              </w:rPr>
              <w:t xml:space="preserve">(vše v jedné kontrole včetně </w:t>
            </w:r>
            <w:proofErr w:type="spellStart"/>
            <w:r>
              <w:rPr>
                <w:rFonts w:ascii="Arial" w:hAnsi="Arial" w:cs="Arial"/>
                <w:sz w:val="20"/>
                <w:szCs w:val="20"/>
              </w:rPr>
              <w:t>oxy</w:t>
            </w:r>
            <w:r w:rsidRPr="009E6F1A">
              <w:rPr>
                <w:rFonts w:ascii="Arial" w:hAnsi="Arial" w:cs="Arial"/>
                <w:sz w:val="20"/>
                <w:szCs w:val="20"/>
              </w:rPr>
              <w:t>metrie</w:t>
            </w:r>
            <w:proofErr w:type="spellEnd"/>
            <w:r w:rsidRPr="009E6F1A">
              <w:rPr>
                <w:rFonts w:ascii="Arial" w:hAnsi="Arial" w:cs="Arial"/>
                <w:sz w:val="20"/>
                <w:szCs w:val="20"/>
              </w:rPr>
              <w:t>).</w:t>
            </w:r>
          </w:p>
        </w:tc>
        <w:tc>
          <w:tcPr>
            <w:tcW w:w="2268" w:type="dxa"/>
            <w:shd w:val="clear" w:color="auto" w:fill="FFFF00"/>
            <w:vAlign w:val="center"/>
          </w:tcPr>
          <w:p w14:paraId="4D311290" w14:textId="134D1906"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7F27BD6B" w14:textId="7EC0897C" w:rsidTr="006D22C8">
        <w:trPr>
          <w:trHeight w:val="510"/>
        </w:trPr>
        <w:tc>
          <w:tcPr>
            <w:tcW w:w="7225" w:type="dxa"/>
            <w:vAlign w:val="center"/>
          </w:tcPr>
          <w:p w14:paraId="6521CC7C" w14:textId="77777777" w:rsidR="006D22C8" w:rsidRDefault="006D22C8" w:rsidP="004A39B8">
            <w:pPr>
              <w:pStyle w:val="Bezmezer"/>
              <w:suppressAutoHyphens/>
              <w:jc w:val="both"/>
              <w:rPr>
                <w:rFonts w:ascii="Arial" w:hAnsi="Arial" w:cs="Arial"/>
                <w:sz w:val="20"/>
                <w:szCs w:val="20"/>
              </w:rPr>
            </w:pPr>
            <w:r>
              <w:rPr>
                <w:rFonts w:ascii="Arial" w:hAnsi="Arial" w:cs="Arial"/>
                <w:sz w:val="20"/>
                <w:szCs w:val="20"/>
              </w:rPr>
              <w:t>Statistické vyhodnocení kontroly kvality s vizualizací na obrazovce (</w:t>
            </w:r>
            <w:proofErr w:type="spellStart"/>
            <w:r>
              <w:rPr>
                <w:rFonts w:ascii="Arial" w:hAnsi="Arial" w:cs="Arial"/>
                <w:sz w:val="20"/>
                <w:szCs w:val="20"/>
              </w:rPr>
              <w:t>Levey-Jennings</w:t>
            </w:r>
            <w:proofErr w:type="spellEnd"/>
            <w:r>
              <w:rPr>
                <w:rFonts w:ascii="Arial" w:hAnsi="Arial" w:cs="Arial"/>
                <w:sz w:val="20"/>
                <w:szCs w:val="20"/>
              </w:rPr>
              <w:t xml:space="preserve"> graf).</w:t>
            </w:r>
          </w:p>
        </w:tc>
        <w:tc>
          <w:tcPr>
            <w:tcW w:w="2268" w:type="dxa"/>
            <w:shd w:val="clear" w:color="auto" w:fill="FFFF00"/>
            <w:vAlign w:val="center"/>
          </w:tcPr>
          <w:p w14:paraId="481A84EA" w14:textId="30F7B01B"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42F119E2" w14:textId="4A180C64" w:rsidTr="006D22C8">
        <w:trPr>
          <w:trHeight w:val="510"/>
        </w:trPr>
        <w:tc>
          <w:tcPr>
            <w:tcW w:w="7225" w:type="dxa"/>
            <w:tcBorders>
              <w:top w:val="single" w:sz="4" w:space="0" w:color="auto"/>
              <w:left w:val="single" w:sz="4" w:space="0" w:color="auto"/>
              <w:bottom w:val="single" w:sz="4" w:space="0" w:color="auto"/>
              <w:right w:val="single" w:sz="4" w:space="0" w:color="auto"/>
            </w:tcBorders>
            <w:vAlign w:val="center"/>
          </w:tcPr>
          <w:p w14:paraId="261D72DC" w14:textId="4C369F01" w:rsidR="006D22C8" w:rsidRPr="005107B2" w:rsidRDefault="006D22C8" w:rsidP="004A39B8">
            <w:pPr>
              <w:pStyle w:val="Bezmezer"/>
              <w:suppressAutoHyphens/>
              <w:jc w:val="both"/>
              <w:rPr>
                <w:rFonts w:ascii="Arial" w:hAnsi="Arial" w:cs="Arial"/>
                <w:sz w:val="20"/>
                <w:szCs w:val="20"/>
              </w:rPr>
            </w:pPr>
            <w:r w:rsidRPr="009E6F1A">
              <w:rPr>
                <w:rFonts w:ascii="Arial" w:hAnsi="Arial" w:cs="Arial"/>
                <w:sz w:val="20"/>
                <w:szCs w:val="20"/>
              </w:rPr>
              <w:t xml:space="preserve">Požadavek na zálohu </w:t>
            </w:r>
            <w:r>
              <w:rPr>
                <w:rFonts w:ascii="Arial" w:hAnsi="Arial" w:cs="Arial"/>
                <w:sz w:val="20"/>
                <w:szCs w:val="20"/>
              </w:rPr>
              <w:t xml:space="preserve">UPS </w:t>
            </w:r>
            <w:r w:rsidRPr="009E6F1A">
              <w:rPr>
                <w:rFonts w:ascii="Arial" w:hAnsi="Arial" w:cs="Arial"/>
                <w:sz w:val="20"/>
                <w:szCs w:val="20"/>
              </w:rPr>
              <w:t>při výpadku elektri</w:t>
            </w:r>
            <w:r>
              <w:rPr>
                <w:rFonts w:ascii="Arial" w:hAnsi="Arial" w:cs="Arial"/>
                <w:sz w:val="20"/>
                <w:szCs w:val="20"/>
              </w:rPr>
              <w:t>cké sítě zdarma.</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14:paraId="625AA2B4" w14:textId="0F518E45"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0EFB1524" w14:textId="40733D6D" w:rsidTr="006D22C8">
        <w:trPr>
          <w:trHeight w:val="510"/>
        </w:trPr>
        <w:tc>
          <w:tcPr>
            <w:tcW w:w="7225" w:type="dxa"/>
            <w:vAlign w:val="center"/>
          </w:tcPr>
          <w:p w14:paraId="329AA530" w14:textId="7868B3E1" w:rsidR="006D22C8" w:rsidRDefault="006D22C8" w:rsidP="004A39B8">
            <w:pPr>
              <w:pStyle w:val="Bezmezer"/>
              <w:suppressAutoHyphens/>
              <w:jc w:val="both"/>
              <w:rPr>
                <w:rFonts w:ascii="Arial" w:hAnsi="Arial" w:cs="Arial"/>
                <w:sz w:val="20"/>
                <w:szCs w:val="20"/>
              </w:rPr>
            </w:pPr>
            <w:r>
              <w:rPr>
                <w:rFonts w:ascii="Arial" w:hAnsi="Arial" w:cs="Arial"/>
                <w:sz w:val="20"/>
                <w:szCs w:val="20"/>
              </w:rPr>
              <w:t>Obslužný SW analyzátoru kompletně v češtině s video nápovědami.</w:t>
            </w:r>
          </w:p>
        </w:tc>
        <w:tc>
          <w:tcPr>
            <w:tcW w:w="2268" w:type="dxa"/>
            <w:shd w:val="clear" w:color="auto" w:fill="FFFF00"/>
            <w:vAlign w:val="center"/>
          </w:tcPr>
          <w:p w14:paraId="315CA25D" w14:textId="0ADDFD10"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6BE2E615" w14:textId="3AC12F51" w:rsidTr="006D22C8">
        <w:trPr>
          <w:trHeight w:val="510"/>
        </w:trPr>
        <w:tc>
          <w:tcPr>
            <w:tcW w:w="7225" w:type="dxa"/>
            <w:vAlign w:val="center"/>
          </w:tcPr>
          <w:p w14:paraId="5166B1B0" w14:textId="77777777" w:rsidR="006D22C8" w:rsidRDefault="006D22C8" w:rsidP="004A39B8">
            <w:pPr>
              <w:pStyle w:val="Bezmezer"/>
              <w:suppressAutoHyphens/>
              <w:jc w:val="both"/>
              <w:rPr>
                <w:rFonts w:ascii="Arial" w:hAnsi="Arial" w:cs="Arial"/>
                <w:sz w:val="20"/>
                <w:szCs w:val="20"/>
              </w:rPr>
            </w:pPr>
            <w:r>
              <w:rPr>
                <w:rFonts w:ascii="Arial" w:hAnsi="Arial" w:cs="Arial"/>
                <w:sz w:val="20"/>
                <w:szCs w:val="20"/>
              </w:rPr>
              <w:t>Ovládání přístroje a měření po přihlášení osobního ID operátora.</w:t>
            </w:r>
          </w:p>
        </w:tc>
        <w:tc>
          <w:tcPr>
            <w:tcW w:w="2268" w:type="dxa"/>
            <w:shd w:val="clear" w:color="auto" w:fill="FFFF00"/>
            <w:vAlign w:val="center"/>
          </w:tcPr>
          <w:p w14:paraId="160C3368" w14:textId="5C61826D" w:rsidR="006D22C8" w:rsidRPr="004A39B8" w:rsidRDefault="006D22C8" w:rsidP="004A39B8">
            <w:pPr>
              <w:pStyle w:val="Bezmezer"/>
              <w:suppressAutoHyphens/>
              <w:jc w:val="both"/>
              <w:rPr>
                <w:rFonts w:ascii="Arial" w:hAnsi="Arial" w:cs="Arial"/>
                <w:sz w:val="16"/>
                <w:szCs w:val="16"/>
                <w:highlight w:val="yellow"/>
              </w:rPr>
            </w:pPr>
            <w:r w:rsidRPr="004A39B8">
              <w:rPr>
                <w:rFonts w:ascii="Arial" w:hAnsi="Arial" w:cs="Arial"/>
                <w:sz w:val="16"/>
                <w:szCs w:val="16"/>
                <w:highlight w:val="yellow"/>
              </w:rPr>
              <w:t>DOPLNÍ ÚČASTNÍK</w:t>
            </w:r>
          </w:p>
        </w:tc>
      </w:tr>
      <w:tr w:rsidR="006D22C8" w:rsidRPr="00833D8E" w14:paraId="52C1FEC8" w14:textId="7DCABDFA" w:rsidTr="006D22C8">
        <w:trPr>
          <w:trHeight w:val="557"/>
        </w:trPr>
        <w:tc>
          <w:tcPr>
            <w:tcW w:w="7225" w:type="dxa"/>
            <w:vAlign w:val="center"/>
          </w:tcPr>
          <w:p w14:paraId="7AA197E1" w14:textId="77777777" w:rsidR="006D22C8" w:rsidRDefault="006D22C8" w:rsidP="004A39B8">
            <w:pPr>
              <w:pStyle w:val="Bezmezer"/>
              <w:suppressAutoHyphens/>
              <w:jc w:val="both"/>
              <w:rPr>
                <w:rFonts w:ascii="Arial" w:hAnsi="Arial" w:cs="Arial"/>
                <w:sz w:val="20"/>
                <w:szCs w:val="20"/>
              </w:rPr>
            </w:pPr>
            <w:r>
              <w:rPr>
                <w:rFonts w:ascii="Arial" w:hAnsi="Arial" w:cs="Arial"/>
                <w:sz w:val="20"/>
                <w:szCs w:val="20"/>
              </w:rPr>
              <w:t xml:space="preserve">Načtení osobního ID pacienta, případně dalších uživatelsky zvolených parametrů </w:t>
            </w:r>
            <w:r w:rsidRPr="009E6F1A">
              <w:rPr>
                <w:rFonts w:ascii="Arial" w:hAnsi="Arial" w:cs="Arial"/>
                <w:sz w:val="20"/>
                <w:szCs w:val="20"/>
              </w:rPr>
              <w:t>– čtečka čárového kódu i ruční zadání.</w:t>
            </w:r>
          </w:p>
        </w:tc>
        <w:tc>
          <w:tcPr>
            <w:tcW w:w="2268" w:type="dxa"/>
            <w:shd w:val="clear" w:color="auto" w:fill="FFFF00"/>
            <w:vAlign w:val="center"/>
          </w:tcPr>
          <w:p w14:paraId="624E26EA" w14:textId="09B18773" w:rsidR="006D22C8" w:rsidRPr="004A39B8" w:rsidRDefault="006D22C8" w:rsidP="004A39B8">
            <w:pPr>
              <w:pStyle w:val="Bezmezer"/>
              <w:suppressAutoHyphens/>
              <w:jc w:val="both"/>
              <w:rPr>
                <w:rFonts w:ascii="Arial" w:hAnsi="Arial" w:cs="Arial"/>
                <w:sz w:val="16"/>
                <w:szCs w:val="16"/>
              </w:rPr>
            </w:pPr>
            <w:r w:rsidRPr="004A39B8">
              <w:rPr>
                <w:rFonts w:ascii="Arial" w:hAnsi="Arial" w:cs="Arial"/>
                <w:sz w:val="16"/>
                <w:szCs w:val="16"/>
                <w:highlight w:val="yellow"/>
              </w:rPr>
              <w:t>DOPLNÍ ÚČASTNÍK</w:t>
            </w:r>
          </w:p>
        </w:tc>
      </w:tr>
      <w:tr w:rsidR="006D22C8" w:rsidRPr="00833D8E" w14:paraId="65E2BF9F" w14:textId="40D36D62" w:rsidTr="006D22C8">
        <w:trPr>
          <w:trHeight w:val="510"/>
        </w:trPr>
        <w:tc>
          <w:tcPr>
            <w:tcW w:w="7225" w:type="dxa"/>
            <w:vAlign w:val="center"/>
          </w:tcPr>
          <w:p w14:paraId="6187258F" w14:textId="0A162607" w:rsidR="006D22C8" w:rsidRDefault="006D22C8" w:rsidP="004A39B8">
            <w:pPr>
              <w:pStyle w:val="Bezmezer"/>
              <w:suppressAutoHyphens/>
              <w:jc w:val="both"/>
              <w:rPr>
                <w:rFonts w:ascii="Arial" w:hAnsi="Arial" w:cs="Arial"/>
                <w:sz w:val="20"/>
                <w:szCs w:val="20"/>
              </w:rPr>
            </w:pPr>
            <w:r w:rsidRPr="009E6F1A">
              <w:rPr>
                <w:rFonts w:ascii="Arial" w:hAnsi="Arial" w:cs="Arial"/>
                <w:sz w:val="20"/>
                <w:szCs w:val="20"/>
              </w:rPr>
              <w:t>Palubní tiskárna s volitelnou možností tisknutí/netisknutí výsledkového protokolu</w:t>
            </w:r>
            <w:r>
              <w:rPr>
                <w:rFonts w:ascii="Arial" w:hAnsi="Arial" w:cs="Arial"/>
                <w:sz w:val="20"/>
                <w:szCs w:val="20"/>
              </w:rPr>
              <w:t>.</w:t>
            </w:r>
          </w:p>
        </w:tc>
        <w:tc>
          <w:tcPr>
            <w:tcW w:w="2268" w:type="dxa"/>
            <w:shd w:val="clear" w:color="auto" w:fill="FFFF00"/>
            <w:vAlign w:val="center"/>
          </w:tcPr>
          <w:p w14:paraId="7FDE06CE" w14:textId="4E642B6E" w:rsidR="006D22C8" w:rsidRPr="004A39B8" w:rsidRDefault="006D22C8" w:rsidP="004A39B8">
            <w:pPr>
              <w:pStyle w:val="Bezmezer"/>
              <w:suppressAutoHyphens/>
              <w:jc w:val="both"/>
              <w:rPr>
                <w:rFonts w:ascii="Arial" w:hAnsi="Arial" w:cs="Arial"/>
                <w:sz w:val="16"/>
                <w:szCs w:val="16"/>
              </w:rPr>
            </w:pPr>
            <w:r w:rsidRPr="004A39B8">
              <w:rPr>
                <w:rFonts w:ascii="Arial" w:hAnsi="Arial" w:cs="Arial"/>
                <w:sz w:val="16"/>
                <w:szCs w:val="16"/>
                <w:highlight w:val="yellow"/>
              </w:rPr>
              <w:t>DOPLNÍ ÚČASTNÍK</w:t>
            </w:r>
          </w:p>
        </w:tc>
      </w:tr>
      <w:tr w:rsidR="006D22C8" w:rsidRPr="00833D8E" w14:paraId="0CB26282" w14:textId="04879248" w:rsidTr="006D22C8">
        <w:trPr>
          <w:trHeight w:val="643"/>
        </w:trPr>
        <w:tc>
          <w:tcPr>
            <w:tcW w:w="7225" w:type="dxa"/>
            <w:vAlign w:val="center"/>
          </w:tcPr>
          <w:p w14:paraId="77E42A28" w14:textId="20198A67" w:rsidR="006D22C8" w:rsidRPr="005107B2" w:rsidRDefault="006D22C8" w:rsidP="004A39B8">
            <w:pPr>
              <w:autoSpaceDE w:val="0"/>
              <w:adjustRightInd w:val="0"/>
              <w:spacing w:after="0" w:line="240" w:lineRule="auto"/>
              <w:jc w:val="both"/>
              <w:rPr>
                <w:rFonts w:ascii="Arial" w:hAnsi="Arial"/>
                <w:sz w:val="20"/>
                <w:szCs w:val="20"/>
              </w:rPr>
            </w:pPr>
            <w:r>
              <w:rPr>
                <w:rFonts w:ascii="Arial" w:hAnsi="Arial" w:cs="Arial"/>
                <w:sz w:val="20"/>
                <w:szCs w:val="20"/>
              </w:rPr>
              <w:t>Dálková správa zařízení v rámci nemocnice a ze servisního centra dodavatele.</w:t>
            </w:r>
          </w:p>
        </w:tc>
        <w:tc>
          <w:tcPr>
            <w:tcW w:w="2268" w:type="dxa"/>
            <w:shd w:val="clear" w:color="auto" w:fill="FFFF00"/>
            <w:vAlign w:val="center"/>
          </w:tcPr>
          <w:p w14:paraId="2146E94F" w14:textId="63E4B902" w:rsidR="006D22C8" w:rsidRPr="004A39B8" w:rsidRDefault="006D22C8" w:rsidP="004A39B8">
            <w:pPr>
              <w:autoSpaceDE w:val="0"/>
              <w:adjustRightInd w:val="0"/>
              <w:spacing w:after="0" w:line="240" w:lineRule="auto"/>
              <w:jc w:val="both"/>
              <w:rPr>
                <w:rFonts w:ascii="Arial" w:hAnsi="Arial" w:cs="Arial"/>
                <w:sz w:val="16"/>
                <w:szCs w:val="16"/>
              </w:rPr>
            </w:pPr>
            <w:r w:rsidRPr="004A39B8">
              <w:rPr>
                <w:rFonts w:ascii="Arial" w:hAnsi="Arial" w:cs="Arial"/>
                <w:sz w:val="16"/>
                <w:szCs w:val="16"/>
                <w:highlight w:val="yellow"/>
              </w:rPr>
              <w:t>DOPLNÍ ÚČASTNÍK</w:t>
            </w:r>
          </w:p>
        </w:tc>
      </w:tr>
      <w:tr w:rsidR="006D22C8" w:rsidRPr="00833D8E" w14:paraId="1EF1C3E0" w14:textId="1759853C" w:rsidTr="006D22C8">
        <w:trPr>
          <w:trHeight w:val="893"/>
        </w:trPr>
        <w:tc>
          <w:tcPr>
            <w:tcW w:w="7225" w:type="dxa"/>
            <w:tcBorders>
              <w:bottom w:val="single" w:sz="4" w:space="0" w:color="auto"/>
            </w:tcBorders>
            <w:vAlign w:val="center"/>
          </w:tcPr>
          <w:p w14:paraId="3279C781" w14:textId="6DDD5346" w:rsidR="006D22C8" w:rsidRPr="005107B2" w:rsidRDefault="006D22C8" w:rsidP="004A39B8">
            <w:pPr>
              <w:autoSpaceDE w:val="0"/>
              <w:adjustRightInd w:val="0"/>
              <w:spacing w:after="0" w:line="240" w:lineRule="auto"/>
              <w:jc w:val="both"/>
              <w:rPr>
                <w:rFonts w:ascii="Arial" w:hAnsi="Arial"/>
                <w:sz w:val="20"/>
                <w:szCs w:val="20"/>
              </w:rPr>
            </w:pPr>
            <w:r w:rsidRPr="005107B2">
              <w:rPr>
                <w:rFonts w:ascii="Arial" w:hAnsi="Arial"/>
                <w:sz w:val="20"/>
                <w:szCs w:val="20"/>
                <w:lang w:eastAsia="cs-CZ"/>
              </w:rPr>
              <w:lastRenderedPageBreak/>
              <w:t xml:space="preserve">Bezplatná možnost </w:t>
            </w:r>
            <w:r>
              <w:rPr>
                <w:rFonts w:ascii="Arial" w:hAnsi="Arial"/>
                <w:sz w:val="20"/>
                <w:szCs w:val="20"/>
                <w:lang w:eastAsia="cs-CZ"/>
              </w:rPr>
              <w:t xml:space="preserve">upgrade </w:t>
            </w:r>
            <w:r w:rsidRPr="005107B2">
              <w:rPr>
                <w:rFonts w:ascii="Arial" w:hAnsi="Arial"/>
                <w:sz w:val="20"/>
                <w:szCs w:val="20"/>
                <w:lang w:eastAsia="cs-CZ"/>
              </w:rPr>
              <w:t>SW a HW</w:t>
            </w:r>
            <w:r>
              <w:rPr>
                <w:rFonts w:ascii="Arial" w:hAnsi="Arial"/>
                <w:sz w:val="20"/>
                <w:szCs w:val="20"/>
                <w:lang w:eastAsia="cs-CZ"/>
              </w:rPr>
              <w:t xml:space="preserve"> přístroje (v souvislosti s </w:t>
            </w:r>
            <w:r w:rsidRPr="005107B2">
              <w:rPr>
                <w:rFonts w:ascii="Arial" w:hAnsi="Arial"/>
                <w:sz w:val="20"/>
                <w:szCs w:val="20"/>
                <w:lang w:eastAsia="cs-CZ"/>
              </w:rPr>
              <w:t>rozšířením využitelnosti přístroje, zavedení nových parametrů atd.).</w:t>
            </w:r>
          </w:p>
        </w:tc>
        <w:tc>
          <w:tcPr>
            <w:tcW w:w="2268" w:type="dxa"/>
            <w:tcBorders>
              <w:bottom w:val="single" w:sz="4" w:space="0" w:color="auto"/>
            </w:tcBorders>
            <w:shd w:val="clear" w:color="auto" w:fill="FFFF00"/>
            <w:vAlign w:val="center"/>
          </w:tcPr>
          <w:p w14:paraId="3E1B7CF9" w14:textId="34CE9A50" w:rsidR="006D22C8" w:rsidRPr="004A39B8" w:rsidRDefault="006D22C8" w:rsidP="004A39B8">
            <w:pPr>
              <w:autoSpaceDE w:val="0"/>
              <w:adjustRightInd w:val="0"/>
              <w:spacing w:after="0" w:line="240" w:lineRule="auto"/>
              <w:jc w:val="both"/>
              <w:rPr>
                <w:rFonts w:ascii="Arial" w:hAnsi="Arial"/>
                <w:sz w:val="16"/>
                <w:szCs w:val="16"/>
                <w:lang w:eastAsia="cs-CZ"/>
              </w:rPr>
            </w:pPr>
            <w:r w:rsidRPr="004A39B8">
              <w:rPr>
                <w:rFonts w:ascii="Arial" w:hAnsi="Arial" w:cs="Arial"/>
                <w:sz w:val="16"/>
                <w:szCs w:val="16"/>
                <w:highlight w:val="yellow"/>
              </w:rPr>
              <w:t>DOPLNÍ ÚČASTNÍK</w:t>
            </w:r>
          </w:p>
        </w:tc>
      </w:tr>
      <w:tr w:rsidR="006D22C8" w:rsidRPr="001039EB" w14:paraId="1FBF6CF6" w14:textId="39F62450" w:rsidTr="006D22C8">
        <w:trPr>
          <w:trHeight w:val="799"/>
        </w:trPr>
        <w:tc>
          <w:tcPr>
            <w:tcW w:w="7225" w:type="dxa"/>
            <w:vAlign w:val="center"/>
          </w:tcPr>
          <w:p w14:paraId="1101DF5B" w14:textId="6A559E46" w:rsidR="006D22C8" w:rsidRPr="003A31F8" w:rsidRDefault="006D22C8" w:rsidP="004A39B8">
            <w:pPr>
              <w:pStyle w:val="Odstavecseseznamem"/>
              <w:widowControl w:val="0"/>
              <w:suppressAutoHyphens/>
              <w:autoSpaceDE w:val="0"/>
              <w:autoSpaceDN w:val="0"/>
              <w:adjustRightInd w:val="0"/>
              <w:spacing w:after="0" w:line="240" w:lineRule="auto"/>
              <w:ind w:left="0"/>
              <w:contextualSpacing w:val="0"/>
              <w:jc w:val="both"/>
              <w:textAlignment w:val="baseline"/>
              <w:rPr>
                <w:rFonts w:ascii="Arial" w:hAnsi="Arial"/>
                <w:sz w:val="20"/>
                <w:szCs w:val="20"/>
                <w:lang w:val="cs-CZ"/>
              </w:rPr>
            </w:pPr>
            <w:r w:rsidRPr="003A31F8">
              <w:rPr>
                <w:rFonts w:ascii="Arial" w:hAnsi="Arial"/>
                <w:sz w:val="20"/>
                <w:szCs w:val="20"/>
                <w:lang w:val="cs-CZ" w:eastAsia="cs-CZ" w:bidi="ar-SA"/>
              </w:rPr>
              <w:t>Bezplatné zajištění autorizovaného servisu a oprav pro zapůjčené přístrojové vybavení nejpozději do </w:t>
            </w:r>
            <w:r>
              <w:rPr>
                <w:rFonts w:ascii="Arial" w:hAnsi="Arial"/>
                <w:sz w:val="20"/>
                <w:szCs w:val="20"/>
                <w:lang w:val="cs-CZ" w:eastAsia="cs-CZ" w:bidi="ar-SA"/>
              </w:rPr>
              <w:t>48</w:t>
            </w:r>
            <w:r w:rsidRPr="003A31F8">
              <w:rPr>
                <w:rFonts w:ascii="Arial" w:hAnsi="Arial"/>
                <w:sz w:val="20"/>
                <w:szCs w:val="20"/>
                <w:lang w:val="cs-CZ" w:eastAsia="cs-CZ" w:bidi="ar-SA"/>
              </w:rPr>
              <w:t xml:space="preserve"> hod po nahlášení závady.</w:t>
            </w:r>
          </w:p>
        </w:tc>
        <w:tc>
          <w:tcPr>
            <w:tcW w:w="2268" w:type="dxa"/>
            <w:shd w:val="clear" w:color="auto" w:fill="FFFF00"/>
            <w:vAlign w:val="center"/>
          </w:tcPr>
          <w:p w14:paraId="68A0153E" w14:textId="079FCF0F" w:rsidR="006D22C8" w:rsidRPr="004A39B8" w:rsidRDefault="006D22C8" w:rsidP="004A39B8">
            <w:pPr>
              <w:pStyle w:val="Odstavecseseznamem"/>
              <w:widowControl w:val="0"/>
              <w:suppressAutoHyphens/>
              <w:autoSpaceDE w:val="0"/>
              <w:autoSpaceDN w:val="0"/>
              <w:adjustRightInd w:val="0"/>
              <w:spacing w:after="0" w:line="240" w:lineRule="auto"/>
              <w:ind w:left="0"/>
              <w:contextualSpacing w:val="0"/>
              <w:jc w:val="both"/>
              <w:textAlignment w:val="baseline"/>
              <w:rPr>
                <w:rFonts w:ascii="Arial" w:hAnsi="Arial"/>
                <w:sz w:val="16"/>
                <w:szCs w:val="16"/>
                <w:lang w:val="cs-CZ" w:eastAsia="cs-CZ" w:bidi="ar-SA"/>
              </w:rPr>
            </w:pPr>
            <w:r w:rsidRPr="004A39B8">
              <w:rPr>
                <w:rFonts w:ascii="Arial" w:hAnsi="Arial" w:cs="Arial"/>
                <w:sz w:val="16"/>
                <w:szCs w:val="16"/>
                <w:highlight w:val="yellow"/>
              </w:rPr>
              <w:t>DOPLNÍ ÚČASTNÍK</w:t>
            </w:r>
          </w:p>
        </w:tc>
      </w:tr>
      <w:tr w:rsidR="006D22C8" w:rsidRPr="001039EB" w14:paraId="7DFDEA84" w14:textId="106AC048" w:rsidTr="006D22C8">
        <w:trPr>
          <w:trHeight w:val="550"/>
        </w:trPr>
        <w:tc>
          <w:tcPr>
            <w:tcW w:w="7225" w:type="dxa"/>
            <w:vAlign w:val="center"/>
          </w:tcPr>
          <w:p w14:paraId="0D526850" w14:textId="77777777" w:rsidR="006D22C8" w:rsidRPr="003A31F8" w:rsidRDefault="006D22C8" w:rsidP="004A39B8">
            <w:pPr>
              <w:pStyle w:val="Odstavecseseznamem"/>
              <w:widowControl w:val="0"/>
              <w:suppressAutoHyphens/>
              <w:autoSpaceDE w:val="0"/>
              <w:autoSpaceDN w:val="0"/>
              <w:adjustRightInd w:val="0"/>
              <w:spacing w:after="0" w:line="240" w:lineRule="auto"/>
              <w:ind w:left="0"/>
              <w:contextualSpacing w:val="0"/>
              <w:jc w:val="both"/>
              <w:textAlignment w:val="baseline"/>
              <w:rPr>
                <w:rFonts w:ascii="Arial" w:hAnsi="Arial"/>
                <w:sz w:val="20"/>
                <w:szCs w:val="20"/>
                <w:lang w:val="cs-CZ"/>
              </w:rPr>
            </w:pPr>
            <w:r w:rsidRPr="003A31F8">
              <w:rPr>
                <w:rFonts w:ascii="Arial" w:hAnsi="Arial"/>
                <w:sz w:val="20"/>
                <w:szCs w:val="20"/>
                <w:lang w:val="cs-CZ" w:eastAsia="cs-CZ" w:bidi="ar-SA"/>
              </w:rPr>
              <w:t>Bezplatná technická podpora při řešení technických a analytických problémů (informační servis).</w:t>
            </w:r>
          </w:p>
        </w:tc>
        <w:tc>
          <w:tcPr>
            <w:tcW w:w="2268" w:type="dxa"/>
            <w:shd w:val="clear" w:color="auto" w:fill="FFFF00"/>
            <w:vAlign w:val="center"/>
          </w:tcPr>
          <w:p w14:paraId="4B23E965" w14:textId="10414D7F" w:rsidR="006D22C8" w:rsidRPr="004A39B8" w:rsidRDefault="006D22C8" w:rsidP="004A39B8">
            <w:pPr>
              <w:pStyle w:val="Odstavecseseznamem"/>
              <w:widowControl w:val="0"/>
              <w:suppressAutoHyphens/>
              <w:autoSpaceDE w:val="0"/>
              <w:autoSpaceDN w:val="0"/>
              <w:adjustRightInd w:val="0"/>
              <w:spacing w:after="0" w:line="240" w:lineRule="auto"/>
              <w:ind w:left="0"/>
              <w:contextualSpacing w:val="0"/>
              <w:jc w:val="both"/>
              <w:textAlignment w:val="baseline"/>
              <w:rPr>
                <w:rFonts w:ascii="Arial" w:hAnsi="Arial"/>
                <w:sz w:val="16"/>
                <w:szCs w:val="16"/>
                <w:lang w:val="cs-CZ" w:eastAsia="cs-CZ" w:bidi="ar-SA"/>
              </w:rPr>
            </w:pPr>
            <w:r w:rsidRPr="004A39B8">
              <w:rPr>
                <w:rFonts w:ascii="Arial" w:hAnsi="Arial" w:cs="Arial"/>
                <w:sz w:val="16"/>
                <w:szCs w:val="16"/>
                <w:highlight w:val="yellow"/>
              </w:rPr>
              <w:t>DOPLNÍ ÚČASTNÍK</w:t>
            </w:r>
          </w:p>
        </w:tc>
      </w:tr>
      <w:tr w:rsidR="006D22C8" w:rsidRPr="00833D8E" w14:paraId="737857A3" w14:textId="4E41306D" w:rsidTr="006D22C8">
        <w:trPr>
          <w:trHeight w:val="510"/>
        </w:trPr>
        <w:tc>
          <w:tcPr>
            <w:tcW w:w="7225" w:type="dxa"/>
            <w:vAlign w:val="center"/>
          </w:tcPr>
          <w:p w14:paraId="3404CBB1" w14:textId="77777777" w:rsidR="006D22C8" w:rsidRPr="00C43D21" w:rsidRDefault="006D22C8" w:rsidP="004A39B8">
            <w:pPr>
              <w:pStyle w:val="Bezmezer"/>
              <w:suppressAutoHyphens/>
              <w:autoSpaceDE w:val="0"/>
              <w:adjustRightInd w:val="0"/>
              <w:jc w:val="both"/>
              <w:rPr>
                <w:rFonts w:ascii="Arial" w:hAnsi="Arial"/>
                <w:sz w:val="20"/>
                <w:szCs w:val="20"/>
              </w:rPr>
            </w:pPr>
            <w:r w:rsidRPr="00C43D21">
              <w:rPr>
                <w:rFonts w:ascii="Arial" w:hAnsi="Arial" w:cs="Arial"/>
                <w:color w:val="000000"/>
                <w:sz w:val="20"/>
                <w:szCs w:val="20"/>
              </w:rPr>
              <w:t>Hot-line včetně dnů pracovního volna a pracovního klidu.</w:t>
            </w:r>
          </w:p>
        </w:tc>
        <w:tc>
          <w:tcPr>
            <w:tcW w:w="2268" w:type="dxa"/>
            <w:shd w:val="clear" w:color="auto" w:fill="FFFF00"/>
            <w:vAlign w:val="center"/>
          </w:tcPr>
          <w:p w14:paraId="6D371E89" w14:textId="1AD8D6B0" w:rsidR="006D22C8" w:rsidRPr="004A39B8" w:rsidRDefault="006D22C8" w:rsidP="004A39B8">
            <w:pPr>
              <w:pStyle w:val="Bezmezer"/>
              <w:suppressAutoHyphens/>
              <w:autoSpaceDE w:val="0"/>
              <w:adjustRightInd w:val="0"/>
              <w:jc w:val="both"/>
              <w:rPr>
                <w:rFonts w:ascii="Arial" w:hAnsi="Arial" w:cs="Arial"/>
                <w:color w:val="000000"/>
                <w:sz w:val="16"/>
                <w:szCs w:val="16"/>
              </w:rPr>
            </w:pPr>
            <w:r w:rsidRPr="004A39B8">
              <w:rPr>
                <w:rFonts w:ascii="Arial" w:hAnsi="Arial" w:cs="Arial"/>
                <w:sz w:val="16"/>
                <w:szCs w:val="16"/>
                <w:highlight w:val="yellow"/>
              </w:rPr>
              <w:t>DOPLNÍ ÚČASTNÍK</w:t>
            </w:r>
          </w:p>
        </w:tc>
      </w:tr>
    </w:tbl>
    <w:p w14:paraId="090CAD5B" w14:textId="0B74D417" w:rsidR="00945F2B" w:rsidRDefault="00945F2B" w:rsidP="009118ED"/>
    <w:p w14:paraId="69F544B5" w14:textId="77777777" w:rsidR="00945F2B" w:rsidRDefault="00945F2B" w:rsidP="009118ED"/>
    <w:sectPr w:rsidR="00945F2B" w:rsidSect="00067F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92CB" w14:textId="77777777" w:rsidR="00781F92" w:rsidRDefault="00781F92" w:rsidP="007435F8">
      <w:pPr>
        <w:spacing w:after="0" w:line="240" w:lineRule="auto"/>
      </w:pPr>
      <w:r>
        <w:separator/>
      </w:r>
    </w:p>
  </w:endnote>
  <w:endnote w:type="continuationSeparator" w:id="0">
    <w:p w14:paraId="10422D1B" w14:textId="77777777" w:rsidR="00781F92" w:rsidRDefault="00781F92" w:rsidP="0074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8448908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FAA34E1" w14:textId="5AB5C1C4" w:rsidR="007435F8" w:rsidRPr="007435F8" w:rsidRDefault="007435F8">
            <w:pPr>
              <w:pStyle w:val="Zpat"/>
              <w:jc w:val="right"/>
              <w:rPr>
                <w:sz w:val="18"/>
                <w:szCs w:val="18"/>
              </w:rPr>
            </w:pPr>
            <w:r w:rsidRPr="007435F8">
              <w:rPr>
                <w:sz w:val="18"/>
                <w:szCs w:val="18"/>
              </w:rPr>
              <w:t xml:space="preserve">Stránka </w:t>
            </w:r>
            <w:r w:rsidRPr="007435F8">
              <w:rPr>
                <w:b/>
                <w:bCs/>
                <w:sz w:val="18"/>
                <w:szCs w:val="18"/>
              </w:rPr>
              <w:fldChar w:fldCharType="begin"/>
            </w:r>
            <w:r w:rsidRPr="007435F8">
              <w:rPr>
                <w:b/>
                <w:bCs/>
                <w:sz w:val="18"/>
                <w:szCs w:val="18"/>
              </w:rPr>
              <w:instrText>PAGE</w:instrText>
            </w:r>
            <w:r w:rsidRPr="007435F8">
              <w:rPr>
                <w:b/>
                <w:bCs/>
                <w:sz w:val="18"/>
                <w:szCs w:val="18"/>
              </w:rPr>
              <w:fldChar w:fldCharType="separate"/>
            </w:r>
            <w:r w:rsidR="00945F2B">
              <w:rPr>
                <w:b/>
                <w:bCs/>
                <w:noProof/>
                <w:sz w:val="18"/>
                <w:szCs w:val="18"/>
              </w:rPr>
              <w:t>2</w:t>
            </w:r>
            <w:r w:rsidRPr="007435F8">
              <w:rPr>
                <w:b/>
                <w:bCs/>
                <w:sz w:val="18"/>
                <w:szCs w:val="18"/>
              </w:rPr>
              <w:fldChar w:fldCharType="end"/>
            </w:r>
            <w:r w:rsidRPr="007435F8">
              <w:rPr>
                <w:sz w:val="18"/>
                <w:szCs w:val="18"/>
              </w:rPr>
              <w:t xml:space="preserve"> z </w:t>
            </w:r>
            <w:r w:rsidRPr="007435F8">
              <w:rPr>
                <w:b/>
                <w:bCs/>
                <w:sz w:val="18"/>
                <w:szCs w:val="18"/>
              </w:rPr>
              <w:fldChar w:fldCharType="begin"/>
            </w:r>
            <w:r w:rsidRPr="007435F8">
              <w:rPr>
                <w:b/>
                <w:bCs/>
                <w:sz w:val="18"/>
                <w:szCs w:val="18"/>
              </w:rPr>
              <w:instrText>NUMPAGES</w:instrText>
            </w:r>
            <w:r w:rsidRPr="007435F8">
              <w:rPr>
                <w:b/>
                <w:bCs/>
                <w:sz w:val="18"/>
                <w:szCs w:val="18"/>
              </w:rPr>
              <w:fldChar w:fldCharType="separate"/>
            </w:r>
            <w:r w:rsidR="00945F2B">
              <w:rPr>
                <w:b/>
                <w:bCs/>
                <w:noProof/>
                <w:sz w:val="18"/>
                <w:szCs w:val="18"/>
              </w:rPr>
              <w:t>3</w:t>
            </w:r>
            <w:r w:rsidRPr="007435F8">
              <w:rPr>
                <w:b/>
                <w:bCs/>
                <w:sz w:val="18"/>
                <w:szCs w:val="18"/>
              </w:rPr>
              <w:fldChar w:fldCharType="end"/>
            </w:r>
          </w:p>
        </w:sdtContent>
      </w:sdt>
    </w:sdtContent>
  </w:sdt>
  <w:p w14:paraId="7FBB720D" w14:textId="77777777" w:rsidR="007435F8" w:rsidRDefault="007435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C047" w14:textId="77777777" w:rsidR="00781F92" w:rsidRDefault="00781F92" w:rsidP="007435F8">
      <w:pPr>
        <w:spacing w:after="0" w:line="240" w:lineRule="auto"/>
      </w:pPr>
      <w:r>
        <w:separator/>
      </w:r>
    </w:p>
  </w:footnote>
  <w:footnote w:type="continuationSeparator" w:id="0">
    <w:p w14:paraId="0C393108" w14:textId="77777777" w:rsidR="00781F92" w:rsidRDefault="00781F92" w:rsidP="007435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ED"/>
    <w:rsid w:val="00022107"/>
    <w:rsid w:val="00033B26"/>
    <w:rsid w:val="0004376C"/>
    <w:rsid w:val="000701F8"/>
    <w:rsid w:val="000A4978"/>
    <w:rsid w:val="000B36A2"/>
    <w:rsid w:val="000C763A"/>
    <w:rsid w:val="001039EB"/>
    <w:rsid w:val="00111B26"/>
    <w:rsid w:val="0011291F"/>
    <w:rsid w:val="00113505"/>
    <w:rsid w:val="00135412"/>
    <w:rsid w:val="001425A8"/>
    <w:rsid w:val="00145C55"/>
    <w:rsid w:val="001638AD"/>
    <w:rsid w:val="001742B9"/>
    <w:rsid w:val="001A6C24"/>
    <w:rsid w:val="001C0048"/>
    <w:rsid w:val="001D0295"/>
    <w:rsid w:val="001D51B3"/>
    <w:rsid w:val="001E3A3B"/>
    <w:rsid w:val="001F4395"/>
    <w:rsid w:val="001F4EBF"/>
    <w:rsid w:val="00214A99"/>
    <w:rsid w:val="00224CA5"/>
    <w:rsid w:val="002534CD"/>
    <w:rsid w:val="00261475"/>
    <w:rsid w:val="002B4E0A"/>
    <w:rsid w:val="002E0ED7"/>
    <w:rsid w:val="00312C5D"/>
    <w:rsid w:val="0033496E"/>
    <w:rsid w:val="00344660"/>
    <w:rsid w:val="00372FE4"/>
    <w:rsid w:val="00373F75"/>
    <w:rsid w:val="00393227"/>
    <w:rsid w:val="00395608"/>
    <w:rsid w:val="003B3ACA"/>
    <w:rsid w:val="003F3784"/>
    <w:rsid w:val="003F6D8D"/>
    <w:rsid w:val="00420D12"/>
    <w:rsid w:val="00431CBD"/>
    <w:rsid w:val="00450AE8"/>
    <w:rsid w:val="0048122C"/>
    <w:rsid w:val="004A39B8"/>
    <w:rsid w:val="004D0142"/>
    <w:rsid w:val="004E058C"/>
    <w:rsid w:val="00511004"/>
    <w:rsid w:val="0054168F"/>
    <w:rsid w:val="00545638"/>
    <w:rsid w:val="00563E84"/>
    <w:rsid w:val="005920D5"/>
    <w:rsid w:val="005925DD"/>
    <w:rsid w:val="00596B38"/>
    <w:rsid w:val="00596B75"/>
    <w:rsid w:val="005D245D"/>
    <w:rsid w:val="005F4FAD"/>
    <w:rsid w:val="005F5F19"/>
    <w:rsid w:val="00603F6B"/>
    <w:rsid w:val="00605916"/>
    <w:rsid w:val="00633F6E"/>
    <w:rsid w:val="006762FD"/>
    <w:rsid w:val="00683F71"/>
    <w:rsid w:val="00685E3F"/>
    <w:rsid w:val="006C186E"/>
    <w:rsid w:val="006C4FB9"/>
    <w:rsid w:val="006D22C8"/>
    <w:rsid w:val="006D458D"/>
    <w:rsid w:val="00701F25"/>
    <w:rsid w:val="00715DD0"/>
    <w:rsid w:val="007430AB"/>
    <w:rsid w:val="007435F8"/>
    <w:rsid w:val="00743ABE"/>
    <w:rsid w:val="007645FD"/>
    <w:rsid w:val="00781F92"/>
    <w:rsid w:val="00787FB1"/>
    <w:rsid w:val="007A0127"/>
    <w:rsid w:val="007B5A0A"/>
    <w:rsid w:val="00842F65"/>
    <w:rsid w:val="008525CC"/>
    <w:rsid w:val="008A5B4D"/>
    <w:rsid w:val="008A6FA8"/>
    <w:rsid w:val="008B041B"/>
    <w:rsid w:val="009118ED"/>
    <w:rsid w:val="00912C0C"/>
    <w:rsid w:val="00932BDD"/>
    <w:rsid w:val="00945F2B"/>
    <w:rsid w:val="00956FED"/>
    <w:rsid w:val="00980681"/>
    <w:rsid w:val="00991D8D"/>
    <w:rsid w:val="009A201E"/>
    <w:rsid w:val="009C382F"/>
    <w:rsid w:val="009E4E68"/>
    <w:rsid w:val="009F50D4"/>
    <w:rsid w:val="00A12304"/>
    <w:rsid w:val="00A13C75"/>
    <w:rsid w:val="00A3199B"/>
    <w:rsid w:val="00A50D91"/>
    <w:rsid w:val="00AC5E36"/>
    <w:rsid w:val="00AD228E"/>
    <w:rsid w:val="00B0027B"/>
    <w:rsid w:val="00B07DA6"/>
    <w:rsid w:val="00B158FD"/>
    <w:rsid w:val="00B66060"/>
    <w:rsid w:val="00B72604"/>
    <w:rsid w:val="00B75A3B"/>
    <w:rsid w:val="00BC66C2"/>
    <w:rsid w:val="00C12F03"/>
    <w:rsid w:val="00C369BA"/>
    <w:rsid w:val="00C42E7B"/>
    <w:rsid w:val="00C4603E"/>
    <w:rsid w:val="00C52AEA"/>
    <w:rsid w:val="00C52EE4"/>
    <w:rsid w:val="00C628C0"/>
    <w:rsid w:val="00C64CF1"/>
    <w:rsid w:val="00C85013"/>
    <w:rsid w:val="00C950A6"/>
    <w:rsid w:val="00CA3796"/>
    <w:rsid w:val="00CA5C8B"/>
    <w:rsid w:val="00CB7093"/>
    <w:rsid w:val="00CE6D0C"/>
    <w:rsid w:val="00D35FED"/>
    <w:rsid w:val="00D40C4F"/>
    <w:rsid w:val="00D65BE5"/>
    <w:rsid w:val="00D85DE5"/>
    <w:rsid w:val="00D90328"/>
    <w:rsid w:val="00DB6241"/>
    <w:rsid w:val="00DC5887"/>
    <w:rsid w:val="00DD33AE"/>
    <w:rsid w:val="00DE5F85"/>
    <w:rsid w:val="00E66419"/>
    <w:rsid w:val="00EA1440"/>
    <w:rsid w:val="00EC75AA"/>
    <w:rsid w:val="00EF3A5E"/>
    <w:rsid w:val="00F05F1E"/>
    <w:rsid w:val="00F4299D"/>
    <w:rsid w:val="00F43DDC"/>
    <w:rsid w:val="00F454D0"/>
    <w:rsid w:val="00F51D89"/>
    <w:rsid w:val="00F52EA0"/>
    <w:rsid w:val="00F56188"/>
    <w:rsid w:val="00F73BA0"/>
    <w:rsid w:val="00FB487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CB812"/>
  <w15:chartTrackingRefBased/>
  <w15:docId w15:val="{FDBAC793-D407-47EE-9EF9-A4822765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18E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18ED"/>
    <w:pPr>
      <w:ind w:left="720"/>
      <w:contextualSpacing/>
    </w:pPr>
    <w:rPr>
      <w:rFonts w:ascii="Times New Roman" w:eastAsia="Times New Roman" w:hAnsi="Times New Roman"/>
      <w:lang w:val="en-US" w:bidi="en-US"/>
    </w:rPr>
  </w:style>
  <w:style w:type="paragraph" w:styleId="Bezmezer">
    <w:name w:val="No Spacing"/>
    <w:qFormat/>
    <w:rsid w:val="009118ED"/>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7435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35F8"/>
    <w:rPr>
      <w:rFonts w:ascii="Calibri" w:eastAsia="Calibri" w:hAnsi="Calibri" w:cs="Times New Roman"/>
    </w:rPr>
  </w:style>
  <w:style w:type="paragraph" w:styleId="Zpat">
    <w:name w:val="footer"/>
    <w:basedOn w:val="Normln"/>
    <w:link w:val="ZpatChar"/>
    <w:uiPriority w:val="99"/>
    <w:unhideWhenUsed/>
    <w:rsid w:val="007435F8"/>
    <w:pPr>
      <w:tabs>
        <w:tab w:val="center" w:pos="4536"/>
        <w:tab w:val="right" w:pos="9072"/>
      </w:tabs>
      <w:spacing w:after="0" w:line="240" w:lineRule="auto"/>
    </w:pPr>
  </w:style>
  <w:style w:type="character" w:customStyle="1" w:styleId="ZpatChar">
    <w:name w:val="Zápatí Char"/>
    <w:basedOn w:val="Standardnpsmoodstavce"/>
    <w:link w:val="Zpat"/>
    <w:uiPriority w:val="99"/>
    <w:rsid w:val="007435F8"/>
    <w:rPr>
      <w:rFonts w:ascii="Calibri" w:eastAsia="Calibri" w:hAnsi="Calibri" w:cs="Times New Roman"/>
    </w:rPr>
  </w:style>
  <w:style w:type="paragraph" w:styleId="Textbubliny">
    <w:name w:val="Balloon Text"/>
    <w:basedOn w:val="Normln"/>
    <w:link w:val="TextbublinyChar"/>
    <w:uiPriority w:val="99"/>
    <w:semiHidden/>
    <w:unhideWhenUsed/>
    <w:rsid w:val="00F05F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5F1E"/>
    <w:rPr>
      <w:rFonts w:ascii="Segoe UI" w:eastAsia="Calibri" w:hAnsi="Segoe UI" w:cs="Segoe UI"/>
      <w:sz w:val="18"/>
      <w:szCs w:val="18"/>
    </w:rPr>
  </w:style>
  <w:style w:type="paragraph" w:styleId="Revize">
    <w:name w:val="Revision"/>
    <w:hidden/>
    <w:uiPriority w:val="99"/>
    <w:semiHidden/>
    <w:rsid w:val="006D22C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3488">
      <w:bodyDiv w:val="1"/>
      <w:marLeft w:val="0"/>
      <w:marRight w:val="0"/>
      <w:marTop w:val="0"/>
      <w:marBottom w:val="0"/>
      <w:divBdr>
        <w:top w:val="none" w:sz="0" w:space="0" w:color="auto"/>
        <w:left w:val="none" w:sz="0" w:space="0" w:color="auto"/>
        <w:bottom w:val="none" w:sz="0" w:space="0" w:color="auto"/>
        <w:right w:val="none" w:sz="0" w:space="0" w:color="auto"/>
      </w:divBdr>
    </w:div>
    <w:div w:id="169569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3B3CB0B3A3D40A7132C8B3732DF78" ma:contentTypeVersion="11" ma:contentTypeDescription="Create a new document." ma:contentTypeScope="" ma:versionID="e485ee5d168aadfe39dc545189dd4358">
  <xsd:schema xmlns:xsd="http://www.w3.org/2001/XMLSchema" xmlns:xs="http://www.w3.org/2001/XMLSchema" xmlns:p="http://schemas.microsoft.com/office/2006/metadata/properties" xmlns:ns3="ccca6529-4149-4f62-9edc-ed0a7f5613e3" xmlns:ns4="26c9350a-a675-4235-b53a-d74df77f8789" targetNamespace="http://schemas.microsoft.com/office/2006/metadata/properties" ma:root="true" ma:fieldsID="eec84319cd101dd3a32ae342be635640" ns3:_="" ns4:_="">
    <xsd:import namespace="ccca6529-4149-4f62-9edc-ed0a7f5613e3"/>
    <xsd:import namespace="26c9350a-a675-4235-b53a-d74df77f8789"/>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6529-4149-4f62-9edc-ed0a7f5613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9350a-a675-4235-b53a-d74df77f8789"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E5D6C7-FC00-46D3-8BBF-4AD78A05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6529-4149-4f62-9edc-ed0a7f5613e3"/>
    <ds:schemaRef ds:uri="26c9350a-a675-4235-b53a-d74df77f8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56DF0-F3A7-48EC-934D-83E7F70FD5E1}">
  <ds:schemaRefs>
    <ds:schemaRef ds:uri="http://schemas.microsoft.com/sharepoint/v3/contenttype/forms"/>
  </ds:schemaRefs>
</ds:datastoreItem>
</file>

<file path=customXml/itemProps3.xml><?xml version="1.0" encoding="utf-8"?>
<ds:datastoreItem xmlns:ds="http://schemas.openxmlformats.org/officeDocument/2006/customXml" ds:itemID="{4014A2B7-C057-47F7-B7DF-F17E87BC6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844</Words>
  <Characters>4986</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Čeňková Kateřina</dc:creator>
  <cp:keywords/>
  <dc:description/>
  <cp:lastModifiedBy>Ondřej Zeman</cp:lastModifiedBy>
  <cp:revision>65</cp:revision>
  <cp:lastPrinted>2019-10-15T08:45:00Z</cp:lastPrinted>
  <dcterms:created xsi:type="dcterms:W3CDTF">2024-01-30T16:13:00Z</dcterms:created>
  <dcterms:modified xsi:type="dcterms:W3CDTF">2025-06-06T06:51:00Z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0x010100F063B3CB0B3A3D40A7132C8B3732DF78</vt:lpwstr>
  </property>
  <property fmtid="{D5CDD505-2E9C-101B-9397-08002B2CF9AE}" pid="3" name="MSIP_Label_631ef649-45d3-4e5d-80df-d43468de9a5e_Enabled">
    <vt:lpwstr>true</vt:lpwstr>
  </property>
  <property fmtid="{D5CDD505-2E9C-101B-9397-08002B2CF9AE}" pid="4" name="MSIP_Label_631ef649-45d3-4e5d-80df-d43468de9a5e_SetDate">
    <vt:lpwstr>2022-03-27T18:49:00Z</vt:lpwstr>
  </property>
  <property fmtid="{D5CDD505-2E9C-101B-9397-08002B2CF9AE}" pid="5" name="MSIP_Label_631ef649-45d3-4e5d-80df-d43468de9a5e_Method">
    <vt:lpwstr>Privileged</vt:lpwstr>
  </property>
  <property fmtid="{D5CDD505-2E9C-101B-9397-08002B2CF9AE}" pid="6" name="MSIP_Label_631ef649-45d3-4e5d-80df-d43468de9a5e_Name">
    <vt:lpwstr>Unclassified</vt:lpwstr>
  </property>
  <property fmtid="{D5CDD505-2E9C-101B-9397-08002B2CF9AE}" pid="7" name="MSIP_Label_631ef649-45d3-4e5d-80df-d43468de9a5e_SiteId">
    <vt:lpwstr>771c9c47-7f24-44dc-958e-34f8713a8394</vt:lpwstr>
  </property>
  <property fmtid="{D5CDD505-2E9C-101B-9397-08002B2CF9AE}" pid="8" name="MSIP_Label_631ef649-45d3-4e5d-80df-d43468de9a5e_ActionId">
    <vt:lpwstr>bf7a1ac9-a6fa-4325-ad0f-c7cac1321580</vt:lpwstr>
  </property>
  <property fmtid="{D5CDD505-2E9C-101B-9397-08002B2CF9AE}" pid="9" name="MSIP_Label_631ef649-45d3-4e5d-80df-d43468de9a5e_ContentBits">
    <vt:lpwstr>0</vt:lpwstr>
  </property>
</Properties>
</file>